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37A25" w14:textId="77777777" w:rsidR="003E41E5" w:rsidRDefault="003E41E5" w:rsidP="00454863">
      <w:pPr>
        <w:pStyle w:val="MainText"/>
        <w:spacing w:line="240" w:lineRule="auto"/>
        <w:rPr>
          <w:rFonts w:ascii="Arial" w:hAnsi="Arial" w:cs="Arial"/>
          <w:b/>
          <w:sz w:val="28"/>
          <w:szCs w:val="28"/>
        </w:rPr>
      </w:pPr>
    </w:p>
    <w:p w14:paraId="6E1F9B4F" w14:textId="77777777" w:rsidR="003E41E5" w:rsidRDefault="003E41E5" w:rsidP="00454863">
      <w:pPr>
        <w:pStyle w:val="MainText"/>
        <w:spacing w:line="240" w:lineRule="auto"/>
        <w:rPr>
          <w:rFonts w:ascii="Arial" w:hAnsi="Arial" w:cs="Arial"/>
          <w:b/>
          <w:sz w:val="28"/>
          <w:szCs w:val="28"/>
        </w:rPr>
      </w:pPr>
    </w:p>
    <w:p w14:paraId="46493629" w14:textId="77777777" w:rsidR="00454863" w:rsidRPr="00454863" w:rsidRDefault="00454863" w:rsidP="00454863">
      <w:pPr>
        <w:pStyle w:val="MainText"/>
        <w:spacing w:line="240" w:lineRule="auto"/>
        <w:rPr>
          <w:rFonts w:ascii="Arial" w:hAnsi="Arial" w:cs="Arial"/>
          <w:b/>
          <w:sz w:val="28"/>
          <w:szCs w:val="28"/>
        </w:rPr>
      </w:pPr>
      <w:r w:rsidRPr="00454863">
        <w:rPr>
          <w:rFonts w:ascii="Arial" w:hAnsi="Arial" w:cs="Arial"/>
          <w:b/>
          <w:sz w:val="28"/>
          <w:szCs w:val="28"/>
        </w:rPr>
        <w:t xml:space="preserve">LGA Boards’ improvement activity </w:t>
      </w:r>
    </w:p>
    <w:p w14:paraId="0AECF31E" w14:textId="77777777" w:rsidR="00992E96" w:rsidRDefault="00992E96" w:rsidP="00992E96">
      <w:pPr>
        <w:pStyle w:val="MainText"/>
        <w:spacing w:line="240" w:lineRule="auto"/>
        <w:rPr>
          <w:rFonts w:ascii="Arial" w:hAnsi="Arial" w:cs="Arial"/>
          <w:b/>
          <w:szCs w:val="22"/>
        </w:rPr>
      </w:pPr>
    </w:p>
    <w:p w14:paraId="191326E5" w14:textId="77777777" w:rsidR="003E41E5" w:rsidRDefault="003E41E5" w:rsidP="00992E96">
      <w:pPr>
        <w:pStyle w:val="MainText"/>
        <w:spacing w:line="240" w:lineRule="auto"/>
        <w:rPr>
          <w:rFonts w:ascii="Arial" w:hAnsi="Arial" w:cs="Arial"/>
          <w:b/>
          <w:szCs w:val="22"/>
        </w:rPr>
      </w:pPr>
    </w:p>
    <w:p w14:paraId="0AECF31F" w14:textId="3E20CB6F" w:rsidR="00992E96" w:rsidRDefault="0021059B" w:rsidP="00992E96">
      <w:pPr>
        <w:pStyle w:val="MainText"/>
        <w:spacing w:line="240" w:lineRule="auto"/>
        <w:rPr>
          <w:rFonts w:ascii="Arial" w:hAnsi="Arial" w:cs="Arial"/>
          <w:b/>
          <w:szCs w:val="22"/>
        </w:rPr>
      </w:pPr>
      <w:r>
        <w:rPr>
          <w:rFonts w:ascii="Arial" w:hAnsi="Arial" w:cs="Arial"/>
          <w:b/>
          <w:szCs w:val="22"/>
        </w:rPr>
        <w:t>Purpose</w:t>
      </w:r>
    </w:p>
    <w:p w14:paraId="1D31C273" w14:textId="77777777" w:rsidR="0021059B" w:rsidRDefault="0021059B" w:rsidP="00992E96">
      <w:pPr>
        <w:pStyle w:val="MainText"/>
        <w:spacing w:line="240" w:lineRule="auto"/>
        <w:rPr>
          <w:rFonts w:ascii="Arial" w:hAnsi="Arial" w:cs="Arial"/>
          <w:b/>
          <w:szCs w:val="22"/>
        </w:rPr>
      </w:pPr>
    </w:p>
    <w:p w14:paraId="7EA68FCE" w14:textId="5A634439" w:rsidR="0021059B" w:rsidRPr="0021059B" w:rsidRDefault="0021059B" w:rsidP="00992E96">
      <w:pPr>
        <w:pStyle w:val="MainText"/>
        <w:spacing w:line="240" w:lineRule="auto"/>
        <w:rPr>
          <w:rFonts w:ascii="Arial" w:hAnsi="Arial" w:cs="Arial"/>
          <w:szCs w:val="22"/>
        </w:rPr>
      </w:pPr>
      <w:r>
        <w:rPr>
          <w:rFonts w:ascii="Arial" w:hAnsi="Arial" w:cs="Arial"/>
          <w:szCs w:val="22"/>
        </w:rPr>
        <w:t>For information.</w:t>
      </w:r>
    </w:p>
    <w:p w14:paraId="7784D65E" w14:textId="77777777" w:rsidR="0021059B" w:rsidRDefault="0021059B" w:rsidP="00992E96">
      <w:pPr>
        <w:pStyle w:val="MainText"/>
        <w:spacing w:line="240" w:lineRule="auto"/>
        <w:rPr>
          <w:rFonts w:ascii="Arial" w:hAnsi="Arial" w:cs="Arial"/>
          <w:b/>
          <w:szCs w:val="22"/>
        </w:rPr>
      </w:pPr>
    </w:p>
    <w:p w14:paraId="220DC544" w14:textId="77BCB326" w:rsidR="0021059B" w:rsidRDefault="0021059B" w:rsidP="00992E96">
      <w:pPr>
        <w:pStyle w:val="MainText"/>
        <w:spacing w:line="240" w:lineRule="auto"/>
        <w:rPr>
          <w:rFonts w:ascii="Arial" w:hAnsi="Arial" w:cs="Arial"/>
          <w:b/>
          <w:szCs w:val="22"/>
        </w:rPr>
      </w:pPr>
      <w:r>
        <w:rPr>
          <w:rFonts w:ascii="Arial" w:hAnsi="Arial" w:cs="Arial"/>
          <w:b/>
          <w:szCs w:val="22"/>
        </w:rPr>
        <w:t>Summary</w:t>
      </w:r>
    </w:p>
    <w:p w14:paraId="0AECF320" w14:textId="77777777" w:rsidR="00992E96" w:rsidRPr="0021114E" w:rsidRDefault="00992E96" w:rsidP="00992E96">
      <w:pPr>
        <w:pStyle w:val="MainText"/>
        <w:spacing w:line="240" w:lineRule="auto"/>
        <w:rPr>
          <w:rFonts w:ascii="Arial" w:hAnsi="Arial" w:cs="Arial"/>
          <w:b/>
          <w:szCs w:val="22"/>
        </w:rPr>
      </w:pPr>
    </w:p>
    <w:p w14:paraId="0AECF322" w14:textId="5D1F6943" w:rsidR="00992E96" w:rsidRPr="00EB0DE5" w:rsidRDefault="00EB0DE5" w:rsidP="00992E96">
      <w:pPr>
        <w:pStyle w:val="MainText"/>
        <w:spacing w:line="240" w:lineRule="auto"/>
        <w:rPr>
          <w:rFonts w:ascii="Arial" w:hAnsi="Arial" w:cs="Arial"/>
          <w:szCs w:val="22"/>
        </w:rPr>
      </w:pPr>
      <w:r w:rsidRPr="00EB0DE5">
        <w:rPr>
          <w:rFonts w:ascii="Arial" w:hAnsi="Arial" w:cs="Arial"/>
          <w:szCs w:val="22"/>
        </w:rPr>
        <w:t>To present a progress report on improvement activity undertaken by other LGA Boards.</w:t>
      </w:r>
    </w:p>
    <w:p w14:paraId="0AECF323" w14:textId="77777777" w:rsidR="00992E96" w:rsidRPr="0021114E" w:rsidRDefault="00992E96" w:rsidP="00992E96">
      <w:pPr>
        <w:pStyle w:val="MainText"/>
        <w:spacing w:line="240" w:lineRule="auto"/>
        <w:rPr>
          <w:rFonts w:ascii="Arial" w:hAnsi="Arial" w:cs="Arial"/>
          <w:b/>
          <w:szCs w:val="22"/>
        </w:rPr>
      </w:pPr>
    </w:p>
    <w:tbl>
      <w:tblPr>
        <w:tblW w:w="9157"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0AECF332" w14:textId="77777777" w:rsidTr="00454863">
        <w:tc>
          <w:tcPr>
            <w:tcW w:w="9157" w:type="dxa"/>
          </w:tcPr>
          <w:p w14:paraId="0AECF329" w14:textId="77777777" w:rsidR="00992E96" w:rsidRPr="0021114E" w:rsidRDefault="00992E96" w:rsidP="00EB0DE5">
            <w:pPr>
              <w:pStyle w:val="MainText"/>
              <w:spacing w:line="240" w:lineRule="auto"/>
              <w:rPr>
                <w:rFonts w:ascii="Arial" w:hAnsi="Arial" w:cs="Arial"/>
                <w:b/>
                <w:szCs w:val="22"/>
              </w:rPr>
            </w:pPr>
          </w:p>
          <w:p w14:paraId="0AECF32A" w14:textId="66ED6085" w:rsidR="00992E96" w:rsidRPr="00EB0DE5" w:rsidRDefault="00992E96" w:rsidP="00EB0DE5">
            <w:pPr>
              <w:pStyle w:val="MainText"/>
              <w:spacing w:line="240" w:lineRule="auto"/>
              <w:rPr>
                <w:rFonts w:ascii="Arial" w:hAnsi="Arial" w:cs="Arial"/>
                <w:b/>
                <w:szCs w:val="22"/>
              </w:rPr>
            </w:pPr>
            <w:r w:rsidRPr="00EB0DE5">
              <w:rPr>
                <w:rFonts w:ascii="Arial" w:hAnsi="Arial" w:cs="Arial"/>
                <w:b/>
                <w:szCs w:val="22"/>
              </w:rPr>
              <w:t>Recommendation</w:t>
            </w:r>
          </w:p>
          <w:p w14:paraId="0AECF32B" w14:textId="77777777" w:rsidR="00992E96" w:rsidRPr="00EB0DE5" w:rsidRDefault="00992E96" w:rsidP="00EB0DE5">
            <w:pPr>
              <w:pStyle w:val="MainText"/>
              <w:spacing w:line="240" w:lineRule="auto"/>
              <w:rPr>
                <w:rFonts w:ascii="Arial" w:hAnsi="Arial" w:cs="Arial"/>
                <w:szCs w:val="22"/>
              </w:rPr>
            </w:pPr>
          </w:p>
          <w:p w14:paraId="6575FB65" w14:textId="594D434E" w:rsidR="00EB0DE5" w:rsidRPr="00EB0DE5" w:rsidRDefault="0021059B" w:rsidP="00EB0DE5">
            <w:pPr>
              <w:pStyle w:val="Default"/>
              <w:rPr>
                <w:sz w:val="22"/>
                <w:szCs w:val="22"/>
              </w:rPr>
            </w:pPr>
            <w:r>
              <w:rPr>
                <w:sz w:val="22"/>
                <w:szCs w:val="22"/>
              </w:rPr>
              <w:t>That the Improvement &amp; Innovation Board</w:t>
            </w:r>
            <w:r w:rsidR="00EB0DE5" w:rsidRPr="00EB0DE5">
              <w:rPr>
                <w:sz w:val="22"/>
                <w:szCs w:val="22"/>
              </w:rPr>
              <w:t xml:space="preserve"> are asked to note the progress report on improvement activity undertaken by other LGA Boards.</w:t>
            </w:r>
          </w:p>
          <w:p w14:paraId="0AECF32D" w14:textId="77777777" w:rsidR="00992E96" w:rsidRPr="00EB0DE5" w:rsidRDefault="00992E96" w:rsidP="00EB0DE5">
            <w:pPr>
              <w:pStyle w:val="MainText"/>
              <w:spacing w:line="240" w:lineRule="auto"/>
              <w:rPr>
                <w:rFonts w:ascii="Arial" w:hAnsi="Arial" w:cs="Arial"/>
                <w:szCs w:val="22"/>
              </w:rPr>
            </w:pPr>
          </w:p>
          <w:p w14:paraId="0AECF32E" w14:textId="3EB9BD4C" w:rsidR="00992E96" w:rsidRPr="0021114E" w:rsidRDefault="00992E96" w:rsidP="00EB0DE5">
            <w:pPr>
              <w:pStyle w:val="MainText"/>
              <w:spacing w:line="240" w:lineRule="auto"/>
              <w:rPr>
                <w:rFonts w:ascii="Arial" w:hAnsi="Arial" w:cs="Arial"/>
                <w:b/>
                <w:szCs w:val="22"/>
              </w:rPr>
            </w:pPr>
            <w:r w:rsidRPr="0021114E">
              <w:rPr>
                <w:rFonts w:ascii="Arial" w:hAnsi="Arial" w:cs="Arial"/>
                <w:b/>
                <w:szCs w:val="22"/>
              </w:rPr>
              <w:t>Action</w:t>
            </w:r>
            <w:r>
              <w:rPr>
                <w:rFonts w:ascii="Arial" w:hAnsi="Arial" w:cs="Arial"/>
                <w:b/>
                <w:szCs w:val="22"/>
              </w:rPr>
              <w:t xml:space="preserve"> </w:t>
            </w:r>
          </w:p>
          <w:p w14:paraId="0AECF32F" w14:textId="77777777" w:rsidR="00992E96" w:rsidRPr="00EB0DE5" w:rsidRDefault="00992E96" w:rsidP="00EB0DE5">
            <w:pPr>
              <w:pStyle w:val="MainText"/>
              <w:spacing w:line="240" w:lineRule="auto"/>
              <w:rPr>
                <w:rFonts w:ascii="Arial" w:hAnsi="Arial" w:cs="Arial"/>
                <w:szCs w:val="22"/>
              </w:rPr>
            </w:pPr>
          </w:p>
          <w:p w14:paraId="0AECF330" w14:textId="116870BE" w:rsidR="00992E96" w:rsidRPr="00EB0DE5" w:rsidRDefault="00EB0DE5" w:rsidP="00EB0DE5">
            <w:pPr>
              <w:pStyle w:val="MainText"/>
              <w:spacing w:line="240" w:lineRule="auto"/>
              <w:rPr>
                <w:rFonts w:ascii="Arial" w:hAnsi="Arial" w:cs="Arial"/>
                <w:szCs w:val="22"/>
              </w:rPr>
            </w:pPr>
            <w:r w:rsidRPr="00EB0DE5">
              <w:rPr>
                <w:rFonts w:ascii="Arial" w:hAnsi="Arial" w:cs="Arial"/>
                <w:szCs w:val="22"/>
              </w:rPr>
              <w:t>Officers to respond as necessary to any comments.</w:t>
            </w:r>
          </w:p>
          <w:p w14:paraId="0AECF331" w14:textId="7CAF3413" w:rsidR="00992E96" w:rsidRPr="00EB0DE5" w:rsidRDefault="00992E96" w:rsidP="00EB0DE5">
            <w:pPr>
              <w:pStyle w:val="MainText"/>
              <w:spacing w:line="240" w:lineRule="auto"/>
              <w:rPr>
                <w:rFonts w:ascii="Arial" w:hAnsi="Arial" w:cs="Arial"/>
                <w:szCs w:val="22"/>
              </w:rPr>
            </w:pPr>
          </w:p>
        </w:tc>
      </w:tr>
    </w:tbl>
    <w:p w14:paraId="0AECF333" w14:textId="77777777" w:rsidR="00992E96" w:rsidRPr="0021114E" w:rsidRDefault="00992E96" w:rsidP="00992E96">
      <w:pPr>
        <w:pStyle w:val="MainText"/>
        <w:spacing w:line="240" w:lineRule="auto"/>
        <w:rPr>
          <w:rFonts w:ascii="Arial" w:hAnsi="Arial" w:cs="Arial"/>
          <w:szCs w:val="22"/>
        </w:rPr>
      </w:pPr>
    </w:p>
    <w:p w14:paraId="0AECF334" w14:textId="77777777" w:rsidR="00992E96" w:rsidRPr="0021114E"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21114E" w14:paraId="0AECF337" w14:textId="77777777" w:rsidTr="00992E96">
        <w:tc>
          <w:tcPr>
            <w:tcW w:w="2774" w:type="dxa"/>
          </w:tcPr>
          <w:p w14:paraId="0AECF335" w14:textId="77777777" w:rsidR="00992E96" w:rsidRPr="00D96BF9" w:rsidRDefault="00992E96" w:rsidP="00EB0DE5">
            <w:pPr>
              <w:pStyle w:val="MainText"/>
              <w:spacing w:before="120" w:line="240" w:lineRule="auto"/>
              <w:rPr>
                <w:rFonts w:ascii="Arial" w:hAnsi="Arial" w:cs="Arial"/>
                <w:sz w:val="22"/>
                <w:szCs w:val="22"/>
              </w:rPr>
            </w:pPr>
            <w:r w:rsidRPr="00D96BF9">
              <w:rPr>
                <w:rFonts w:ascii="Arial" w:hAnsi="Arial" w:cs="Arial"/>
                <w:b/>
                <w:sz w:val="22"/>
                <w:szCs w:val="22"/>
              </w:rPr>
              <w:t>Contact officer:</w:t>
            </w:r>
            <w:r w:rsidRPr="00D96BF9">
              <w:rPr>
                <w:rFonts w:ascii="Arial" w:hAnsi="Arial" w:cs="Arial"/>
                <w:sz w:val="22"/>
                <w:szCs w:val="22"/>
              </w:rPr>
              <w:t xml:space="preserve"> </w:t>
            </w:r>
          </w:p>
        </w:tc>
        <w:tc>
          <w:tcPr>
            <w:tcW w:w="6297" w:type="dxa"/>
          </w:tcPr>
          <w:p w14:paraId="0AECF336" w14:textId="689DEE11" w:rsidR="00992E96" w:rsidRPr="00D96BF9" w:rsidRDefault="00454863" w:rsidP="00EB0DE5">
            <w:pPr>
              <w:pStyle w:val="MainText"/>
              <w:spacing w:before="120" w:line="240" w:lineRule="auto"/>
              <w:rPr>
                <w:rFonts w:ascii="Arial" w:hAnsi="Arial" w:cs="Arial"/>
                <w:sz w:val="22"/>
                <w:szCs w:val="22"/>
              </w:rPr>
            </w:pPr>
            <w:r w:rsidRPr="00D96BF9">
              <w:rPr>
                <w:rFonts w:ascii="Arial" w:hAnsi="Arial" w:cs="Arial"/>
                <w:sz w:val="22"/>
                <w:szCs w:val="22"/>
              </w:rPr>
              <w:t xml:space="preserve">Vicki Goddard </w:t>
            </w:r>
          </w:p>
        </w:tc>
      </w:tr>
      <w:tr w:rsidR="00992E96" w:rsidRPr="0021114E" w14:paraId="0AECF33A" w14:textId="77777777" w:rsidTr="00992E96">
        <w:tc>
          <w:tcPr>
            <w:tcW w:w="2774" w:type="dxa"/>
          </w:tcPr>
          <w:p w14:paraId="0AECF338" w14:textId="77777777" w:rsidR="00992E96" w:rsidRPr="00D96BF9" w:rsidRDefault="00992E96" w:rsidP="00EB0DE5">
            <w:pPr>
              <w:pStyle w:val="MainText"/>
              <w:spacing w:before="120" w:line="240" w:lineRule="auto"/>
              <w:rPr>
                <w:rFonts w:ascii="Arial" w:hAnsi="Arial" w:cs="Arial"/>
                <w:b/>
                <w:sz w:val="22"/>
                <w:szCs w:val="22"/>
              </w:rPr>
            </w:pPr>
            <w:r w:rsidRPr="00D96BF9">
              <w:rPr>
                <w:rFonts w:ascii="Arial" w:hAnsi="Arial" w:cs="Arial"/>
                <w:b/>
                <w:sz w:val="22"/>
                <w:szCs w:val="22"/>
              </w:rPr>
              <w:t>Position:</w:t>
            </w:r>
          </w:p>
        </w:tc>
        <w:tc>
          <w:tcPr>
            <w:tcW w:w="6297" w:type="dxa"/>
          </w:tcPr>
          <w:p w14:paraId="0AECF339" w14:textId="2732B793" w:rsidR="00992E96" w:rsidRPr="00D96BF9" w:rsidRDefault="00454863" w:rsidP="00EB0DE5">
            <w:pPr>
              <w:pStyle w:val="MainText"/>
              <w:spacing w:before="120" w:line="240" w:lineRule="auto"/>
              <w:rPr>
                <w:rFonts w:ascii="Arial" w:hAnsi="Arial" w:cs="Arial"/>
                <w:sz w:val="22"/>
                <w:szCs w:val="22"/>
              </w:rPr>
            </w:pPr>
            <w:r w:rsidRPr="00D96BF9">
              <w:rPr>
                <w:rFonts w:ascii="Arial" w:hAnsi="Arial" w:cs="Arial"/>
                <w:sz w:val="22"/>
                <w:szCs w:val="22"/>
              </w:rPr>
              <w:t xml:space="preserve">Improvement Support Adviser </w:t>
            </w:r>
          </w:p>
        </w:tc>
      </w:tr>
      <w:tr w:rsidR="00992E96" w:rsidRPr="0021114E" w14:paraId="0AECF33D" w14:textId="77777777" w:rsidTr="00992E96">
        <w:tc>
          <w:tcPr>
            <w:tcW w:w="2774" w:type="dxa"/>
          </w:tcPr>
          <w:p w14:paraId="0AECF33B" w14:textId="77777777" w:rsidR="00992E96" w:rsidRPr="00D96BF9" w:rsidRDefault="00992E96" w:rsidP="00EB0DE5">
            <w:pPr>
              <w:pStyle w:val="MainText"/>
              <w:spacing w:before="120" w:line="240" w:lineRule="auto"/>
              <w:rPr>
                <w:rFonts w:ascii="Arial" w:hAnsi="Arial" w:cs="Arial"/>
                <w:b/>
                <w:sz w:val="22"/>
                <w:szCs w:val="22"/>
              </w:rPr>
            </w:pPr>
            <w:r w:rsidRPr="00D96BF9">
              <w:rPr>
                <w:rFonts w:ascii="Arial" w:hAnsi="Arial" w:cs="Arial"/>
                <w:b/>
                <w:sz w:val="22"/>
                <w:szCs w:val="22"/>
              </w:rPr>
              <w:t>Phone no:</w:t>
            </w:r>
          </w:p>
        </w:tc>
        <w:tc>
          <w:tcPr>
            <w:tcW w:w="6297" w:type="dxa"/>
          </w:tcPr>
          <w:p w14:paraId="0AECF33C" w14:textId="734370EC" w:rsidR="00992E96" w:rsidRPr="00D96BF9" w:rsidRDefault="00454863" w:rsidP="00EB0DE5">
            <w:pPr>
              <w:pStyle w:val="MainText"/>
              <w:spacing w:before="120" w:line="240" w:lineRule="auto"/>
              <w:rPr>
                <w:rFonts w:ascii="Arial" w:hAnsi="Arial" w:cs="Arial"/>
                <w:sz w:val="22"/>
                <w:szCs w:val="22"/>
              </w:rPr>
            </w:pPr>
            <w:r w:rsidRPr="00D96BF9">
              <w:rPr>
                <w:rFonts w:ascii="Arial" w:hAnsi="Arial" w:cs="Arial"/>
                <w:sz w:val="22"/>
                <w:szCs w:val="22"/>
              </w:rPr>
              <w:t>0207 664 3078</w:t>
            </w:r>
          </w:p>
        </w:tc>
      </w:tr>
      <w:tr w:rsidR="00992E96" w:rsidRPr="0021114E" w14:paraId="0AECF340" w14:textId="77777777" w:rsidTr="00992E96">
        <w:trPr>
          <w:trHeight w:val="507"/>
        </w:trPr>
        <w:tc>
          <w:tcPr>
            <w:tcW w:w="2774" w:type="dxa"/>
          </w:tcPr>
          <w:p w14:paraId="0AECF33E" w14:textId="77777777" w:rsidR="00992E96" w:rsidRPr="00D96BF9" w:rsidRDefault="00992E96" w:rsidP="00EB0DE5">
            <w:pPr>
              <w:pStyle w:val="MainText"/>
              <w:spacing w:before="120" w:line="240" w:lineRule="auto"/>
              <w:rPr>
                <w:rFonts w:ascii="Arial" w:hAnsi="Arial" w:cs="Arial"/>
                <w:b/>
                <w:sz w:val="22"/>
                <w:szCs w:val="22"/>
              </w:rPr>
            </w:pPr>
            <w:r w:rsidRPr="00D96BF9">
              <w:rPr>
                <w:rFonts w:ascii="Arial" w:hAnsi="Arial" w:cs="Arial"/>
                <w:b/>
                <w:sz w:val="22"/>
                <w:szCs w:val="22"/>
              </w:rPr>
              <w:t>Email:</w:t>
            </w:r>
          </w:p>
        </w:tc>
        <w:tc>
          <w:tcPr>
            <w:tcW w:w="6297" w:type="dxa"/>
          </w:tcPr>
          <w:p w14:paraId="0AECF33F" w14:textId="0F45F929" w:rsidR="00992E96" w:rsidRPr="00D96BF9" w:rsidRDefault="0021059B" w:rsidP="00454863">
            <w:pPr>
              <w:pStyle w:val="MainText"/>
              <w:spacing w:before="120" w:line="240" w:lineRule="auto"/>
              <w:rPr>
                <w:rFonts w:ascii="Arial" w:hAnsi="Arial" w:cs="Arial"/>
                <w:sz w:val="22"/>
                <w:szCs w:val="22"/>
              </w:rPr>
            </w:pPr>
            <w:hyperlink r:id="rId11" w:history="1">
              <w:r w:rsidR="00454863" w:rsidRPr="00D96BF9">
                <w:rPr>
                  <w:rStyle w:val="Hyperlink"/>
                  <w:rFonts w:ascii="Arial" w:hAnsi="Arial" w:cs="Arial"/>
                  <w:sz w:val="22"/>
                  <w:szCs w:val="22"/>
                </w:rPr>
                <w:t>vicki.goddard@local.gov.uk</w:t>
              </w:r>
            </w:hyperlink>
            <w:r w:rsidR="00454863" w:rsidRPr="00D96BF9">
              <w:rPr>
                <w:rFonts w:ascii="Arial" w:hAnsi="Arial" w:cs="Arial"/>
                <w:sz w:val="22"/>
                <w:szCs w:val="22"/>
              </w:rPr>
              <w:t xml:space="preserve"> </w:t>
            </w:r>
          </w:p>
        </w:tc>
      </w:tr>
    </w:tbl>
    <w:p w14:paraId="0AECF342" w14:textId="0E96D639" w:rsidR="00992E96" w:rsidRPr="003E41E5" w:rsidRDefault="00992E96" w:rsidP="00992E96">
      <w:pPr>
        <w:sectPr w:rsidR="00992E96" w:rsidRPr="003E41E5" w:rsidSect="00EB0DE5">
          <w:headerReference w:type="default" r:id="rId12"/>
          <w:footerReference w:type="default" r:id="rId13"/>
          <w:headerReference w:type="first" r:id="rId14"/>
          <w:pgSz w:w="11907" w:h="16840" w:code="9"/>
          <w:pgMar w:top="1418" w:right="1418" w:bottom="851" w:left="1418" w:header="1134" w:footer="567" w:gutter="0"/>
          <w:cols w:space="720"/>
        </w:sectPr>
      </w:pPr>
    </w:p>
    <w:p w14:paraId="1293F9E6" w14:textId="26A83B7A" w:rsidR="0008033C" w:rsidRDefault="0008033C" w:rsidP="003E41E5">
      <w:pPr>
        <w:pStyle w:val="LGAItemNoHeading"/>
        <w:tabs>
          <w:tab w:val="left" w:pos="3675"/>
        </w:tabs>
        <w:spacing w:before="0"/>
        <w:rPr>
          <w:rFonts w:ascii="Arial" w:hAnsi="Arial" w:cs="Arial"/>
          <w:sz w:val="28"/>
          <w:szCs w:val="28"/>
        </w:rPr>
      </w:pPr>
      <w:bookmarkStart w:id="2" w:name="MainHeading2"/>
      <w:bookmarkEnd w:id="2"/>
      <w:r>
        <w:rPr>
          <w:rFonts w:ascii="Arial" w:hAnsi="Arial" w:cs="Arial"/>
          <w:sz w:val="28"/>
          <w:szCs w:val="28"/>
        </w:rPr>
        <w:lastRenderedPageBreak/>
        <w:t>L</w:t>
      </w:r>
      <w:r w:rsidR="003E41E5">
        <w:rPr>
          <w:rFonts w:ascii="Arial" w:hAnsi="Arial" w:cs="Arial"/>
          <w:sz w:val="28"/>
          <w:szCs w:val="28"/>
        </w:rPr>
        <w:t>GA Boards’ improvement activity</w:t>
      </w:r>
    </w:p>
    <w:p w14:paraId="6FABA365" w14:textId="77777777" w:rsidR="003E41E5" w:rsidRDefault="003E41E5" w:rsidP="003E41E5">
      <w:pPr>
        <w:pStyle w:val="LGAItemNoHeading"/>
        <w:tabs>
          <w:tab w:val="left" w:pos="3675"/>
        </w:tabs>
        <w:spacing w:before="0" w:after="0"/>
        <w:rPr>
          <w:rFonts w:ascii="Arial" w:hAnsi="Arial" w:cs="Arial"/>
          <w:sz w:val="28"/>
          <w:szCs w:val="28"/>
        </w:rPr>
      </w:pPr>
    </w:p>
    <w:p w14:paraId="0E329662" w14:textId="77777777" w:rsidR="00454863" w:rsidRPr="00734B4E" w:rsidRDefault="00454863" w:rsidP="00454863">
      <w:pPr>
        <w:spacing w:after="200" w:line="276" w:lineRule="auto"/>
        <w:rPr>
          <w:rFonts w:ascii="Arial" w:hAnsi="Arial" w:cs="Arial"/>
          <w:b/>
          <w:bCs/>
        </w:rPr>
      </w:pPr>
      <w:r w:rsidRPr="00734B4E">
        <w:rPr>
          <w:rFonts w:ascii="Arial" w:hAnsi="Arial" w:cs="Arial"/>
          <w:b/>
          <w:bCs/>
        </w:rPr>
        <w:t>Background</w:t>
      </w:r>
    </w:p>
    <w:p w14:paraId="45BFE725" w14:textId="64320DA5" w:rsidR="00454863" w:rsidRPr="00734B4E" w:rsidRDefault="00454863" w:rsidP="00454863">
      <w:pPr>
        <w:numPr>
          <w:ilvl w:val="0"/>
          <w:numId w:val="1"/>
        </w:numPr>
        <w:rPr>
          <w:rFonts w:ascii="Arial" w:hAnsi="Arial" w:cs="Arial"/>
          <w:szCs w:val="22"/>
        </w:rPr>
      </w:pPr>
      <w:r w:rsidRPr="00734B4E">
        <w:rPr>
          <w:rFonts w:ascii="Arial" w:hAnsi="Arial" w:cs="Arial"/>
          <w:szCs w:val="22"/>
        </w:rPr>
        <w:t xml:space="preserve">Members have agreed that it is important for </w:t>
      </w:r>
      <w:r w:rsidR="00867A3F">
        <w:rPr>
          <w:rFonts w:ascii="Arial" w:hAnsi="Arial" w:cs="Arial"/>
          <w:szCs w:val="22"/>
        </w:rPr>
        <w:t xml:space="preserve">this </w:t>
      </w:r>
      <w:r w:rsidR="003E41E5">
        <w:rPr>
          <w:rFonts w:ascii="Arial" w:hAnsi="Arial" w:cs="Arial"/>
          <w:szCs w:val="22"/>
        </w:rPr>
        <w:t>Board to retain a strategic or ‘overarching’</w:t>
      </w:r>
      <w:r w:rsidRPr="00734B4E">
        <w:rPr>
          <w:rFonts w:ascii="Arial" w:hAnsi="Arial" w:cs="Arial"/>
          <w:szCs w:val="22"/>
        </w:rPr>
        <w:t xml:space="preserve"> perspective on the improvement activity currentl</w:t>
      </w:r>
      <w:r>
        <w:rPr>
          <w:rFonts w:ascii="Arial" w:hAnsi="Arial" w:cs="Arial"/>
          <w:szCs w:val="22"/>
        </w:rPr>
        <w:t xml:space="preserve">y undertaken across LGA Boards. </w:t>
      </w:r>
      <w:r w:rsidRPr="00734B4E">
        <w:rPr>
          <w:rFonts w:ascii="Arial" w:hAnsi="Arial" w:cs="Arial"/>
          <w:szCs w:val="22"/>
        </w:rPr>
        <w:t>This will help ensure consistency with the key principles underpinning the approach to sector</w:t>
      </w:r>
      <w:r>
        <w:rPr>
          <w:rFonts w:ascii="Arial" w:hAnsi="Arial" w:cs="Arial"/>
          <w:szCs w:val="22"/>
        </w:rPr>
        <w:t>-</w:t>
      </w:r>
      <w:r w:rsidRPr="00734B4E">
        <w:rPr>
          <w:rFonts w:ascii="Arial" w:hAnsi="Arial" w:cs="Arial"/>
          <w:szCs w:val="22"/>
        </w:rPr>
        <w:t>led improvement and help avoid any potential duplication.</w:t>
      </w:r>
    </w:p>
    <w:p w14:paraId="6E136376" w14:textId="77777777" w:rsidR="00454863" w:rsidRPr="00734B4E" w:rsidRDefault="00454863" w:rsidP="00454863">
      <w:pPr>
        <w:rPr>
          <w:rFonts w:ascii="Arial" w:hAnsi="Arial" w:cs="Arial"/>
          <w:szCs w:val="22"/>
        </w:rPr>
      </w:pPr>
    </w:p>
    <w:p w14:paraId="78DB8AB8" w14:textId="0A0DEF46" w:rsidR="00454863" w:rsidRPr="00734B4E" w:rsidRDefault="00867A3F" w:rsidP="00454863">
      <w:pPr>
        <w:numPr>
          <w:ilvl w:val="0"/>
          <w:numId w:val="1"/>
        </w:numPr>
        <w:rPr>
          <w:rFonts w:ascii="Arial" w:hAnsi="Arial" w:cs="Arial"/>
          <w:szCs w:val="22"/>
        </w:rPr>
      </w:pPr>
      <w:r>
        <w:rPr>
          <w:rFonts w:ascii="Arial" w:hAnsi="Arial" w:cs="Arial"/>
          <w:szCs w:val="22"/>
        </w:rPr>
        <w:t>T</w:t>
      </w:r>
      <w:r w:rsidR="00454863" w:rsidRPr="00734B4E">
        <w:rPr>
          <w:rFonts w:ascii="Arial" w:hAnsi="Arial" w:cs="Arial"/>
          <w:szCs w:val="22"/>
        </w:rPr>
        <w:t>o ach</w:t>
      </w:r>
      <w:r w:rsidR="00454863">
        <w:rPr>
          <w:rFonts w:ascii="Arial" w:hAnsi="Arial" w:cs="Arial"/>
          <w:szCs w:val="22"/>
        </w:rPr>
        <w:t>ieve this</w:t>
      </w:r>
      <w:r w:rsidR="00454863" w:rsidRPr="00734B4E">
        <w:rPr>
          <w:rFonts w:ascii="Arial" w:hAnsi="Arial" w:cs="Arial"/>
          <w:szCs w:val="22"/>
        </w:rPr>
        <w:t>:</w:t>
      </w:r>
    </w:p>
    <w:p w14:paraId="1965A191" w14:textId="77777777" w:rsidR="00454863" w:rsidRPr="00734B4E" w:rsidRDefault="00454863" w:rsidP="00454863">
      <w:pPr>
        <w:rPr>
          <w:rFonts w:ascii="Arial" w:hAnsi="Arial" w:cs="Arial"/>
          <w:szCs w:val="22"/>
        </w:rPr>
      </w:pPr>
    </w:p>
    <w:p w14:paraId="6AF400BB" w14:textId="6AAF60B9" w:rsidR="00454863" w:rsidRPr="00734B4E" w:rsidRDefault="00454863" w:rsidP="0021059B">
      <w:pPr>
        <w:numPr>
          <w:ilvl w:val="1"/>
          <w:numId w:val="1"/>
        </w:numPr>
        <w:spacing w:after="240"/>
        <w:rPr>
          <w:rFonts w:ascii="Arial" w:hAnsi="Arial" w:cs="Arial"/>
          <w:szCs w:val="22"/>
        </w:rPr>
      </w:pPr>
      <w:r>
        <w:rPr>
          <w:rFonts w:ascii="Arial" w:hAnsi="Arial" w:cs="Arial"/>
          <w:szCs w:val="22"/>
        </w:rPr>
        <w:t xml:space="preserve">officers </w:t>
      </w:r>
      <w:r w:rsidRPr="00734B4E">
        <w:rPr>
          <w:rFonts w:ascii="Arial" w:hAnsi="Arial" w:cs="Arial"/>
          <w:szCs w:val="22"/>
        </w:rPr>
        <w:t xml:space="preserve">coordinate the flow of business through the Boards so that the Improvement and Innovation Board </w:t>
      </w:r>
      <w:r>
        <w:rPr>
          <w:rFonts w:ascii="Arial" w:hAnsi="Arial" w:cs="Arial"/>
          <w:szCs w:val="22"/>
        </w:rPr>
        <w:t>can be</w:t>
      </w:r>
      <w:r w:rsidRPr="00734B4E">
        <w:rPr>
          <w:rFonts w:ascii="Arial" w:hAnsi="Arial" w:cs="Arial"/>
          <w:szCs w:val="22"/>
        </w:rPr>
        <w:t xml:space="preserve"> invited to express strategic views about any significant impro</w:t>
      </w:r>
      <w:r w:rsidR="003E41E5">
        <w:rPr>
          <w:rFonts w:ascii="Arial" w:hAnsi="Arial" w:cs="Arial"/>
          <w:szCs w:val="22"/>
        </w:rPr>
        <w:t>vement issues put before other b</w:t>
      </w:r>
      <w:r w:rsidRPr="00734B4E">
        <w:rPr>
          <w:rFonts w:ascii="Arial" w:hAnsi="Arial" w:cs="Arial"/>
          <w:szCs w:val="22"/>
        </w:rPr>
        <w:t>oards</w:t>
      </w:r>
    </w:p>
    <w:p w14:paraId="2DCCE398" w14:textId="4385ADEA" w:rsidR="00454863" w:rsidRPr="00734B4E" w:rsidRDefault="00454863" w:rsidP="0021059B">
      <w:pPr>
        <w:numPr>
          <w:ilvl w:val="1"/>
          <w:numId w:val="1"/>
        </w:numPr>
        <w:spacing w:after="240"/>
        <w:rPr>
          <w:rFonts w:ascii="Arial" w:hAnsi="Arial" w:cs="Arial"/>
          <w:szCs w:val="22"/>
        </w:rPr>
      </w:pPr>
      <w:r w:rsidRPr="00734B4E">
        <w:rPr>
          <w:rFonts w:ascii="Arial" w:hAnsi="Arial" w:cs="Arial"/>
          <w:szCs w:val="22"/>
        </w:rPr>
        <w:t>during the year the Improvement and Innovation Board receives suitably timed progress reports on the major improvement programmes</w:t>
      </w:r>
    </w:p>
    <w:p w14:paraId="28441A28" w14:textId="72442A1C" w:rsidR="00454863" w:rsidRPr="00734B4E" w:rsidRDefault="00454863" w:rsidP="0021059B">
      <w:pPr>
        <w:numPr>
          <w:ilvl w:val="1"/>
          <w:numId w:val="1"/>
        </w:numPr>
        <w:spacing w:after="240"/>
        <w:contextualSpacing/>
        <w:rPr>
          <w:rFonts w:ascii="Arial" w:hAnsi="Arial" w:cs="Arial"/>
          <w:szCs w:val="22"/>
        </w:rPr>
      </w:pPr>
      <w:r w:rsidRPr="00734B4E">
        <w:rPr>
          <w:rFonts w:ascii="Arial" w:hAnsi="Arial" w:cs="Arial"/>
          <w:szCs w:val="22"/>
        </w:rPr>
        <w:t>as far as possible, the Improvement and Innovation Board meets towards the end of each cycle of meetings so it can consider any significant issues put before other Boards and then report back to Boards at their next meeting.</w:t>
      </w:r>
    </w:p>
    <w:p w14:paraId="57AC4580" w14:textId="77777777" w:rsidR="00454863" w:rsidRPr="00734B4E" w:rsidRDefault="00454863" w:rsidP="00454863">
      <w:pPr>
        <w:ind w:left="360"/>
        <w:rPr>
          <w:rFonts w:ascii="Arial" w:hAnsi="Arial" w:cs="Arial"/>
          <w:szCs w:val="22"/>
        </w:rPr>
      </w:pPr>
    </w:p>
    <w:p w14:paraId="22E107EA" w14:textId="49F7CE70" w:rsidR="00C55C0C" w:rsidRDefault="00454863" w:rsidP="00315F0A">
      <w:pPr>
        <w:numPr>
          <w:ilvl w:val="0"/>
          <w:numId w:val="1"/>
        </w:numPr>
        <w:contextualSpacing/>
        <w:rPr>
          <w:rFonts w:ascii="Arial" w:hAnsi="Arial" w:cs="Arial"/>
          <w:szCs w:val="22"/>
        </w:rPr>
      </w:pPr>
      <w:r>
        <w:rPr>
          <w:rFonts w:ascii="Arial" w:hAnsi="Arial" w:cs="Arial"/>
          <w:szCs w:val="22"/>
        </w:rPr>
        <w:t xml:space="preserve">A progress report drawing together a summary of significant improvement activity led by other LGA Board’s since </w:t>
      </w:r>
      <w:r w:rsidRPr="00867A3F">
        <w:rPr>
          <w:rFonts w:ascii="Arial" w:hAnsi="Arial" w:cs="Arial"/>
          <w:szCs w:val="22"/>
        </w:rPr>
        <w:t>this was last reported is</w:t>
      </w:r>
      <w:r w:rsidR="00F27BE1">
        <w:rPr>
          <w:rFonts w:ascii="Arial" w:hAnsi="Arial" w:cs="Arial"/>
          <w:szCs w:val="22"/>
        </w:rPr>
        <w:t xml:space="preserve"> set out in the</w:t>
      </w:r>
      <w:r w:rsidRPr="00867A3F">
        <w:rPr>
          <w:rFonts w:ascii="Arial" w:hAnsi="Arial" w:cs="Arial"/>
          <w:szCs w:val="22"/>
        </w:rPr>
        <w:t xml:space="preserve"> </w:t>
      </w:r>
      <w:r w:rsidRPr="0021059B">
        <w:rPr>
          <w:rFonts w:ascii="Arial" w:hAnsi="Arial" w:cs="Arial"/>
          <w:szCs w:val="22"/>
        </w:rPr>
        <w:t>attached</w:t>
      </w:r>
      <w:r w:rsidR="00F27BE1">
        <w:rPr>
          <w:rFonts w:ascii="Arial" w:hAnsi="Arial" w:cs="Arial"/>
          <w:szCs w:val="22"/>
        </w:rPr>
        <w:t xml:space="preserve"> </w:t>
      </w:r>
      <w:r w:rsidR="00F27BE1" w:rsidRPr="0021059B">
        <w:rPr>
          <w:rFonts w:ascii="Arial" w:hAnsi="Arial" w:cs="Arial"/>
          <w:b/>
          <w:szCs w:val="22"/>
          <w:u w:val="single"/>
        </w:rPr>
        <w:t>Appendix</w:t>
      </w:r>
      <w:r w:rsidR="00035610" w:rsidRPr="0021059B">
        <w:rPr>
          <w:rFonts w:ascii="Arial" w:hAnsi="Arial" w:cs="Arial"/>
          <w:b/>
          <w:szCs w:val="22"/>
          <w:u w:val="single"/>
        </w:rPr>
        <w:t xml:space="preserve"> 1</w:t>
      </w:r>
      <w:r w:rsidR="00C55C0C">
        <w:rPr>
          <w:rFonts w:ascii="Arial" w:hAnsi="Arial" w:cs="Arial"/>
          <w:szCs w:val="22"/>
        </w:rPr>
        <w:t>.</w:t>
      </w:r>
    </w:p>
    <w:p w14:paraId="3A729046" w14:textId="77777777" w:rsidR="00454863" w:rsidRPr="00867A3F" w:rsidRDefault="00454863" w:rsidP="0066318B">
      <w:pPr>
        <w:contextualSpacing/>
        <w:rPr>
          <w:rFonts w:ascii="Arial" w:hAnsi="Arial" w:cs="Arial"/>
          <w:szCs w:val="22"/>
        </w:rPr>
      </w:pPr>
    </w:p>
    <w:p w14:paraId="2BB32BEE" w14:textId="1F2D8802" w:rsidR="00867A3F" w:rsidRPr="00867A3F" w:rsidRDefault="00867A3F" w:rsidP="00867A3F">
      <w:pPr>
        <w:rPr>
          <w:rFonts w:ascii="Arial" w:hAnsi="Arial" w:cs="Arial"/>
          <w:b/>
          <w:szCs w:val="22"/>
        </w:rPr>
      </w:pPr>
      <w:r w:rsidRPr="00867A3F">
        <w:rPr>
          <w:rFonts w:ascii="Arial" w:hAnsi="Arial" w:cs="Arial"/>
          <w:b/>
          <w:szCs w:val="22"/>
        </w:rPr>
        <w:t>Implications for Wales</w:t>
      </w:r>
    </w:p>
    <w:p w14:paraId="13A90B07" w14:textId="77777777" w:rsidR="00867A3F" w:rsidRPr="00867A3F" w:rsidRDefault="00867A3F" w:rsidP="00867A3F">
      <w:pPr>
        <w:rPr>
          <w:rFonts w:ascii="Arial" w:hAnsi="Arial" w:cs="Arial"/>
          <w:szCs w:val="22"/>
        </w:rPr>
      </w:pPr>
    </w:p>
    <w:p w14:paraId="650A5FAA" w14:textId="13A4DDDC" w:rsidR="00867A3F" w:rsidRPr="00867A3F" w:rsidRDefault="00D96BF9" w:rsidP="00867A3F">
      <w:pPr>
        <w:numPr>
          <w:ilvl w:val="0"/>
          <w:numId w:val="1"/>
        </w:numPr>
        <w:contextualSpacing/>
        <w:rPr>
          <w:rFonts w:ascii="Arial" w:hAnsi="Arial" w:cstheme="minorBidi"/>
        </w:rPr>
      </w:pPr>
      <w:r>
        <w:rPr>
          <w:rFonts w:ascii="Arial" w:hAnsi="Arial" w:cs="Arial"/>
          <w:szCs w:val="22"/>
        </w:rPr>
        <w:t>There are no implications for Wales.</w:t>
      </w:r>
      <w:r w:rsidR="00867A3F" w:rsidRPr="00867A3F">
        <w:rPr>
          <w:rFonts w:ascii="Arial" w:hAnsi="Arial" w:cs="Arial"/>
          <w:szCs w:val="22"/>
        </w:rPr>
        <w:t xml:space="preserve"> </w:t>
      </w:r>
    </w:p>
    <w:p w14:paraId="076FD456" w14:textId="77777777" w:rsidR="00867A3F" w:rsidRPr="00867A3F" w:rsidRDefault="00867A3F" w:rsidP="00867A3F">
      <w:pPr>
        <w:ind w:left="360"/>
        <w:contextualSpacing/>
        <w:rPr>
          <w:rFonts w:ascii="Arial" w:hAnsi="Arial" w:cstheme="minorBidi"/>
        </w:rPr>
      </w:pPr>
    </w:p>
    <w:p w14:paraId="4EED2229" w14:textId="77777777" w:rsidR="00454863" w:rsidRPr="00734B4E" w:rsidRDefault="00454863" w:rsidP="00454863">
      <w:pPr>
        <w:rPr>
          <w:rFonts w:ascii="Arial" w:hAnsi="Arial" w:cs="Arial"/>
          <w:b/>
          <w:szCs w:val="22"/>
        </w:rPr>
      </w:pPr>
      <w:r w:rsidRPr="00734B4E">
        <w:rPr>
          <w:rFonts w:ascii="Arial" w:hAnsi="Arial" w:cs="Arial"/>
          <w:b/>
          <w:szCs w:val="22"/>
        </w:rPr>
        <w:t>Financial implications</w:t>
      </w:r>
    </w:p>
    <w:p w14:paraId="7A445F66" w14:textId="77777777" w:rsidR="00454863" w:rsidRPr="00734B4E" w:rsidRDefault="00454863" w:rsidP="00454863">
      <w:pPr>
        <w:rPr>
          <w:rFonts w:ascii="Arial" w:hAnsi="Arial" w:cs="Arial"/>
          <w:szCs w:val="22"/>
        </w:rPr>
      </w:pPr>
    </w:p>
    <w:p w14:paraId="2C0CCA76" w14:textId="77777777" w:rsidR="00454863" w:rsidRPr="00734B4E" w:rsidRDefault="00454863" w:rsidP="00454863">
      <w:pPr>
        <w:numPr>
          <w:ilvl w:val="0"/>
          <w:numId w:val="1"/>
        </w:numPr>
        <w:contextualSpacing/>
        <w:rPr>
          <w:rFonts w:ascii="Arial" w:hAnsi="Arial" w:cs="Arial"/>
        </w:rPr>
      </w:pPr>
      <w:r w:rsidRPr="00734B4E">
        <w:rPr>
          <w:rFonts w:ascii="Arial" w:hAnsi="Arial" w:cs="Arial"/>
          <w:szCs w:val="22"/>
        </w:rPr>
        <w:t>There are no additional financial implications arising from this report.</w:t>
      </w:r>
    </w:p>
    <w:p w14:paraId="01BFD4D5" w14:textId="77777777" w:rsidR="00454863" w:rsidRPr="0021114E" w:rsidRDefault="00454863" w:rsidP="00454863">
      <w:pPr>
        <w:pStyle w:val="MainText"/>
        <w:spacing w:line="240" w:lineRule="auto"/>
        <w:rPr>
          <w:rFonts w:ascii="Arial" w:hAnsi="Arial" w:cs="Arial"/>
          <w:szCs w:val="22"/>
        </w:rPr>
      </w:pPr>
    </w:p>
    <w:p w14:paraId="23F2897F" w14:textId="77777777" w:rsidR="00867A3F" w:rsidRPr="00734B4E" w:rsidRDefault="00867A3F" w:rsidP="00867A3F">
      <w:pPr>
        <w:rPr>
          <w:rFonts w:ascii="Arial" w:hAnsi="Arial" w:cs="Arial"/>
          <w:b/>
          <w:szCs w:val="22"/>
        </w:rPr>
      </w:pPr>
      <w:r w:rsidRPr="00734B4E">
        <w:rPr>
          <w:rFonts w:ascii="Arial" w:hAnsi="Arial" w:cs="Arial"/>
          <w:b/>
          <w:szCs w:val="22"/>
        </w:rPr>
        <w:t>Next steps</w:t>
      </w:r>
    </w:p>
    <w:p w14:paraId="2A9191C6" w14:textId="77777777" w:rsidR="00867A3F" w:rsidRPr="00734B4E" w:rsidRDefault="00867A3F" w:rsidP="00867A3F">
      <w:pPr>
        <w:ind w:left="360"/>
        <w:rPr>
          <w:rFonts w:ascii="Arial" w:hAnsi="Arial" w:cs="Arial"/>
          <w:szCs w:val="22"/>
        </w:rPr>
      </w:pPr>
    </w:p>
    <w:p w14:paraId="2D921B18" w14:textId="77777777" w:rsidR="00867A3F" w:rsidRPr="00734B4E" w:rsidRDefault="00867A3F" w:rsidP="00867A3F">
      <w:pPr>
        <w:numPr>
          <w:ilvl w:val="0"/>
          <w:numId w:val="1"/>
        </w:numPr>
        <w:contextualSpacing/>
        <w:rPr>
          <w:rFonts w:ascii="Arial" w:hAnsi="Arial" w:cs="Arial"/>
          <w:szCs w:val="22"/>
        </w:rPr>
      </w:pPr>
      <w:r w:rsidRPr="00734B4E">
        <w:rPr>
          <w:rFonts w:ascii="Arial" w:hAnsi="Arial" w:cs="Arial"/>
          <w:szCs w:val="22"/>
        </w:rPr>
        <w:t xml:space="preserve">Subject to </w:t>
      </w:r>
      <w:r>
        <w:rPr>
          <w:rFonts w:ascii="Arial" w:hAnsi="Arial" w:cs="Arial"/>
          <w:szCs w:val="22"/>
        </w:rPr>
        <w:t>m</w:t>
      </w:r>
      <w:r w:rsidRPr="00734B4E">
        <w:rPr>
          <w:rFonts w:ascii="Arial" w:hAnsi="Arial" w:cs="Arial"/>
          <w:szCs w:val="22"/>
        </w:rPr>
        <w:t xml:space="preserve">embers’ views, officers will continue to </w:t>
      </w:r>
      <w:r>
        <w:rPr>
          <w:rFonts w:ascii="Arial" w:hAnsi="Arial" w:cs="Arial"/>
          <w:szCs w:val="22"/>
        </w:rPr>
        <w:t xml:space="preserve">brief </w:t>
      </w:r>
      <w:r w:rsidRPr="00734B4E">
        <w:rPr>
          <w:rFonts w:ascii="Arial" w:hAnsi="Arial" w:cs="Arial"/>
          <w:szCs w:val="22"/>
        </w:rPr>
        <w:t xml:space="preserve">the Board on the </w:t>
      </w:r>
      <w:r>
        <w:rPr>
          <w:rFonts w:ascii="Arial" w:hAnsi="Arial" w:cs="Arial"/>
          <w:szCs w:val="22"/>
        </w:rPr>
        <w:t xml:space="preserve">latest </w:t>
      </w:r>
      <w:r w:rsidRPr="00734B4E">
        <w:rPr>
          <w:rFonts w:ascii="Arial" w:hAnsi="Arial" w:cs="Arial"/>
          <w:szCs w:val="22"/>
        </w:rPr>
        <w:t>improvement activities across all LGA Boards.</w:t>
      </w:r>
    </w:p>
    <w:p w14:paraId="5C865D71" w14:textId="6C544A37" w:rsidR="00454863" w:rsidRDefault="00454863" w:rsidP="00D96BF9">
      <w:pPr>
        <w:spacing w:after="160" w:line="259" w:lineRule="auto"/>
        <w:jc w:val="right"/>
        <w:rPr>
          <w:rFonts w:ascii="Arial" w:eastAsia="Calibri" w:hAnsi="Arial" w:cs="Arial"/>
          <w:b/>
          <w:u w:val="single"/>
          <w:lang w:eastAsia="en-US"/>
        </w:rPr>
      </w:pPr>
      <w:r>
        <w:rPr>
          <w:rFonts w:ascii="Arial" w:eastAsia="Calibri" w:hAnsi="Arial" w:cs="Arial"/>
          <w:b/>
          <w:u w:val="single"/>
          <w:lang w:eastAsia="en-US"/>
        </w:rPr>
        <w:br w:type="page"/>
      </w:r>
      <w:r w:rsidR="00D96BF9" w:rsidRPr="0021059B">
        <w:rPr>
          <w:rFonts w:ascii="Arial" w:eastAsia="Calibri" w:hAnsi="Arial" w:cs="Arial"/>
          <w:b/>
          <w:sz w:val="28"/>
          <w:u w:val="single"/>
          <w:lang w:eastAsia="en-US"/>
        </w:rPr>
        <w:lastRenderedPageBreak/>
        <w:t>Appendix</w:t>
      </w:r>
      <w:r w:rsidR="00035610" w:rsidRPr="0021059B">
        <w:rPr>
          <w:rFonts w:ascii="Arial" w:eastAsia="Calibri" w:hAnsi="Arial" w:cs="Arial"/>
          <w:b/>
          <w:sz w:val="28"/>
          <w:u w:val="single"/>
          <w:lang w:eastAsia="en-US"/>
        </w:rPr>
        <w:t xml:space="preserve"> 1</w:t>
      </w:r>
    </w:p>
    <w:p w14:paraId="333F7123" w14:textId="3972B4E2" w:rsidR="00D96BF9" w:rsidRPr="006B04E3" w:rsidRDefault="003E41E5" w:rsidP="006B04E3">
      <w:pPr>
        <w:spacing w:after="240" w:line="259" w:lineRule="auto"/>
        <w:rPr>
          <w:rFonts w:ascii="Arial" w:eastAsia="Calibri" w:hAnsi="Arial" w:cs="Arial"/>
          <w:b/>
          <w:szCs w:val="22"/>
          <w:u w:val="single"/>
          <w:lang w:eastAsia="en-US"/>
        </w:rPr>
      </w:pPr>
      <w:r w:rsidRPr="006B04E3">
        <w:rPr>
          <w:rFonts w:ascii="Arial" w:eastAsia="Calibri" w:hAnsi="Arial" w:cs="Arial"/>
          <w:b/>
          <w:szCs w:val="22"/>
          <w:u w:val="single"/>
          <w:lang w:eastAsia="en-US"/>
        </w:rPr>
        <w:t>Progress report</w:t>
      </w:r>
    </w:p>
    <w:p w14:paraId="29BB9F87" w14:textId="42C3B630" w:rsidR="00454863" w:rsidRPr="006B04E3" w:rsidRDefault="00454863" w:rsidP="006B04E3">
      <w:pPr>
        <w:pStyle w:val="NoSpacing"/>
        <w:numPr>
          <w:ilvl w:val="0"/>
          <w:numId w:val="46"/>
        </w:numPr>
        <w:spacing w:after="240"/>
        <w:rPr>
          <w:rFonts w:ascii="Arial" w:eastAsia="Calibri" w:hAnsi="Arial" w:cs="Arial"/>
          <w:b/>
          <w:szCs w:val="22"/>
          <w:u w:val="single"/>
          <w:lang w:eastAsia="en-US"/>
        </w:rPr>
      </w:pPr>
      <w:r w:rsidRPr="006B04E3">
        <w:rPr>
          <w:rFonts w:ascii="Arial" w:hAnsi="Arial" w:cs="Arial"/>
          <w:szCs w:val="22"/>
        </w:rPr>
        <w:t>This progress report draws together a summary of significant improvement activity led by other LGA Boards</w:t>
      </w:r>
      <w:r w:rsidR="00283531" w:rsidRPr="006B04E3">
        <w:rPr>
          <w:rFonts w:ascii="Arial" w:hAnsi="Arial" w:cs="Arial"/>
          <w:szCs w:val="22"/>
        </w:rPr>
        <w:t xml:space="preserve"> since this was last reported to this Board in March 2017</w:t>
      </w:r>
      <w:r w:rsidRPr="006B04E3">
        <w:rPr>
          <w:rFonts w:ascii="Arial" w:hAnsi="Arial" w:cs="Arial"/>
          <w:szCs w:val="22"/>
        </w:rPr>
        <w:t>:</w:t>
      </w:r>
    </w:p>
    <w:p w14:paraId="6E4CC149" w14:textId="6FD94832" w:rsidR="002D39A7" w:rsidRPr="006B04E3" w:rsidRDefault="0008033C" w:rsidP="006B04E3">
      <w:pPr>
        <w:pStyle w:val="NoSpacing"/>
        <w:spacing w:after="240"/>
        <w:rPr>
          <w:rFonts w:ascii="Arial" w:eastAsia="Calibri" w:hAnsi="Arial" w:cs="Arial"/>
          <w:b/>
          <w:szCs w:val="22"/>
          <w:u w:val="single"/>
          <w:lang w:eastAsia="en-US"/>
        </w:rPr>
      </w:pPr>
      <w:r w:rsidRPr="006B04E3">
        <w:rPr>
          <w:rFonts w:ascii="Arial" w:eastAsia="Calibri" w:hAnsi="Arial" w:cs="Arial"/>
          <w:b/>
          <w:szCs w:val="22"/>
          <w:u w:val="single"/>
          <w:lang w:eastAsia="en-US"/>
        </w:rPr>
        <w:t>City Regions</w:t>
      </w:r>
      <w:r w:rsidR="00ED711B" w:rsidRPr="006B04E3">
        <w:rPr>
          <w:rFonts w:ascii="Arial" w:eastAsia="Calibri" w:hAnsi="Arial" w:cs="Arial"/>
          <w:b/>
          <w:szCs w:val="22"/>
          <w:u w:val="single"/>
          <w:lang w:eastAsia="en-US"/>
        </w:rPr>
        <w:t>,</w:t>
      </w:r>
      <w:r w:rsidRPr="006B04E3">
        <w:rPr>
          <w:rFonts w:ascii="Arial" w:eastAsia="Calibri" w:hAnsi="Arial" w:cs="Arial"/>
          <w:b/>
          <w:szCs w:val="22"/>
          <w:u w:val="single"/>
          <w:lang w:eastAsia="en-US"/>
        </w:rPr>
        <w:t xml:space="preserve"> and People and Places Board</w:t>
      </w:r>
      <w:r w:rsidR="00D15C56" w:rsidRPr="006B04E3">
        <w:rPr>
          <w:rFonts w:ascii="Arial" w:eastAsia="Calibri" w:hAnsi="Arial" w:cs="Arial"/>
          <w:b/>
          <w:szCs w:val="22"/>
          <w:u w:val="single"/>
          <w:lang w:eastAsia="en-US"/>
        </w:rPr>
        <w:t>s</w:t>
      </w:r>
    </w:p>
    <w:p w14:paraId="53564E8E" w14:textId="2875B982" w:rsidR="003E41E5" w:rsidRPr="006B04E3" w:rsidRDefault="002D39A7" w:rsidP="006B04E3">
      <w:pPr>
        <w:pStyle w:val="ListParagraph"/>
        <w:numPr>
          <w:ilvl w:val="0"/>
          <w:numId w:val="45"/>
        </w:numPr>
        <w:spacing w:after="240"/>
        <w:rPr>
          <w:rFonts w:ascii="Arial" w:hAnsi="Arial" w:cs="Arial"/>
          <w:szCs w:val="22"/>
        </w:rPr>
      </w:pPr>
      <w:r w:rsidRPr="006B04E3">
        <w:rPr>
          <w:rFonts w:ascii="Arial" w:hAnsi="Arial" w:cs="Arial"/>
          <w:szCs w:val="22"/>
        </w:rPr>
        <w:t>The LGA’s work on devolution is led by the City Regions</w:t>
      </w:r>
      <w:r w:rsidR="00A17838" w:rsidRPr="006B04E3">
        <w:rPr>
          <w:rFonts w:ascii="Arial" w:hAnsi="Arial" w:cs="Arial"/>
          <w:szCs w:val="22"/>
        </w:rPr>
        <w:t>,</w:t>
      </w:r>
      <w:r w:rsidRPr="006B04E3">
        <w:rPr>
          <w:rFonts w:ascii="Arial" w:hAnsi="Arial" w:cs="Arial"/>
          <w:szCs w:val="22"/>
        </w:rPr>
        <w:t xml:space="preserve"> and People and Places Boards. Under their direction, the LGA has sought to support councils with their devolution ambitions, with activity primarily focussing on: negotiating deals, moving from a deal to implementation, sharing knowledge and best practice. Recent act</w:t>
      </w:r>
      <w:r w:rsidR="003E41E5" w:rsidRPr="006B04E3">
        <w:rPr>
          <w:rFonts w:ascii="Arial" w:hAnsi="Arial" w:cs="Arial"/>
          <w:szCs w:val="22"/>
        </w:rPr>
        <w:t>ivity has included:</w:t>
      </w:r>
    </w:p>
    <w:p w14:paraId="0AA8A966" w14:textId="44E60F3C" w:rsidR="003E41E5" w:rsidRPr="006B04E3" w:rsidRDefault="002D39A7" w:rsidP="006B04E3">
      <w:pPr>
        <w:pStyle w:val="ListParagraph"/>
        <w:numPr>
          <w:ilvl w:val="1"/>
          <w:numId w:val="45"/>
        </w:numPr>
        <w:spacing w:after="240"/>
        <w:rPr>
          <w:rFonts w:ascii="Arial" w:hAnsi="Arial" w:cs="Arial"/>
          <w:szCs w:val="22"/>
        </w:rPr>
      </w:pPr>
      <w:r w:rsidRPr="006B04E3">
        <w:rPr>
          <w:rFonts w:ascii="Arial" w:hAnsi="Arial" w:cs="Arial"/>
          <w:szCs w:val="22"/>
        </w:rPr>
        <w:t xml:space="preserve">supporting combined authorities (CAs) and </w:t>
      </w:r>
      <w:r w:rsidR="00A20AB5" w:rsidRPr="006B04E3">
        <w:rPr>
          <w:rFonts w:ascii="Arial" w:hAnsi="Arial" w:cs="Arial"/>
          <w:szCs w:val="22"/>
        </w:rPr>
        <w:t>mayoral</w:t>
      </w:r>
      <w:r w:rsidRPr="006B04E3">
        <w:rPr>
          <w:rFonts w:ascii="Arial" w:hAnsi="Arial" w:cs="Arial"/>
          <w:szCs w:val="22"/>
        </w:rPr>
        <w:t xml:space="preserve"> candidates in the run-up to local elections:</w:t>
      </w:r>
    </w:p>
    <w:p w14:paraId="188E8679" w14:textId="6B233CF2" w:rsidR="003E41E5" w:rsidRPr="006B04E3" w:rsidRDefault="002D39A7" w:rsidP="006B04E3">
      <w:pPr>
        <w:pStyle w:val="ListParagraph"/>
        <w:numPr>
          <w:ilvl w:val="2"/>
          <w:numId w:val="45"/>
        </w:numPr>
        <w:spacing w:after="240"/>
        <w:rPr>
          <w:rFonts w:ascii="Arial" w:hAnsi="Arial" w:cs="Arial"/>
          <w:szCs w:val="22"/>
        </w:rPr>
      </w:pPr>
      <w:r w:rsidRPr="006B04E3">
        <w:rPr>
          <w:rFonts w:ascii="Arial" w:hAnsi="Arial" w:cs="Arial"/>
          <w:szCs w:val="22"/>
        </w:rPr>
        <w:t xml:space="preserve">working with </w:t>
      </w:r>
      <w:r w:rsidR="00A20AB5" w:rsidRPr="006B04E3">
        <w:rPr>
          <w:rFonts w:ascii="Arial" w:hAnsi="Arial" w:cs="Arial"/>
          <w:szCs w:val="22"/>
        </w:rPr>
        <w:t>mayoral</w:t>
      </w:r>
      <w:r w:rsidRPr="006B04E3">
        <w:rPr>
          <w:rFonts w:ascii="Arial" w:hAnsi="Arial" w:cs="Arial"/>
          <w:szCs w:val="22"/>
        </w:rPr>
        <w:t xml:space="preserve"> candidates through the political group offices to ensure successful candidates were able to hit the ground running and feel part of the local government famil</w:t>
      </w:r>
      <w:r w:rsidR="006B04E3" w:rsidRPr="006B04E3">
        <w:rPr>
          <w:rFonts w:ascii="Arial" w:hAnsi="Arial" w:cs="Arial"/>
          <w:szCs w:val="22"/>
        </w:rPr>
        <w:t xml:space="preserve">y </w:t>
      </w:r>
    </w:p>
    <w:p w14:paraId="19291A88" w14:textId="77777777" w:rsidR="003E41E5" w:rsidRPr="006B04E3" w:rsidRDefault="002D39A7" w:rsidP="006B04E3">
      <w:pPr>
        <w:pStyle w:val="ListParagraph"/>
        <w:numPr>
          <w:ilvl w:val="2"/>
          <w:numId w:val="45"/>
        </w:numPr>
        <w:spacing w:after="240"/>
        <w:rPr>
          <w:rFonts w:ascii="Arial" w:hAnsi="Arial" w:cs="Arial"/>
          <w:szCs w:val="22"/>
        </w:rPr>
      </w:pPr>
      <w:r w:rsidRPr="006B04E3">
        <w:rPr>
          <w:rFonts w:ascii="Arial" w:hAnsi="Arial" w:cs="Arial"/>
          <w:szCs w:val="22"/>
        </w:rPr>
        <w:t>supported the Department for Communities and Local Government, and the Electoral Commission in the roll-out of their campaigns to raise awareness of local elections, especially in CA areas</w:t>
      </w:r>
    </w:p>
    <w:p w14:paraId="1CC6807B" w14:textId="77777777" w:rsidR="003E41E5" w:rsidRPr="006B04E3" w:rsidRDefault="002D39A7" w:rsidP="006B04E3">
      <w:pPr>
        <w:pStyle w:val="ListParagraph"/>
        <w:numPr>
          <w:ilvl w:val="2"/>
          <w:numId w:val="45"/>
        </w:numPr>
        <w:spacing w:after="240"/>
        <w:rPr>
          <w:rFonts w:ascii="Arial" w:hAnsi="Arial" w:cs="Arial"/>
          <w:szCs w:val="22"/>
        </w:rPr>
      </w:pPr>
      <w:r w:rsidRPr="006B04E3">
        <w:rPr>
          <w:rFonts w:ascii="Arial" w:hAnsi="Arial" w:cs="Arial"/>
          <w:szCs w:val="22"/>
        </w:rPr>
        <w:t xml:space="preserve">hosted the April meeting of the CA chief executives’ network to share preparations for elections and plan for working with </w:t>
      </w:r>
      <w:r w:rsidR="00A20AB5" w:rsidRPr="006B04E3">
        <w:rPr>
          <w:rFonts w:ascii="Arial" w:hAnsi="Arial" w:cs="Arial"/>
          <w:szCs w:val="22"/>
        </w:rPr>
        <w:t>m</w:t>
      </w:r>
      <w:r w:rsidRPr="006B04E3">
        <w:rPr>
          <w:rFonts w:ascii="Arial" w:hAnsi="Arial" w:cs="Arial"/>
          <w:szCs w:val="22"/>
        </w:rPr>
        <w:t>ayors</w:t>
      </w:r>
    </w:p>
    <w:p w14:paraId="1017EA7F" w14:textId="5AC726D6" w:rsidR="003E41E5" w:rsidRPr="006B04E3" w:rsidRDefault="002D39A7" w:rsidP="006B04E3">
      <w:pPr>
        <w:pStyle w:val="ListParagraph"/>
        <w:numPr>
          <w:ilvl w:val="2"/>
          <w:numId w:val="45"/>
        </w:numPr>
        <w:spacing w:after="240"/>
        <w:rPr>
          <w:rFonts w:ascii="Arial" w:hAnsi="Arial" w:cs="Arial"/>
          <w:szCs w:val="22"/>
        </w:rPr>
      </w:pPr>
      <w:r w:rsidRPr="006B04E3">
        <w:rPr>
          <w:rFonts w:ascii="Arial" w:hAnsi="Arial" w:cs="Arial"/>
          <w:szCs w:val="22"/>
        </w:rPr>
        <w:t xml:space="preserve">piloting a self-assessment diagnostic tool for </w:t>
      </w:r>
      <w:r w:rsidR="006B04E3" w:rsidRPr="006B04E3">
        <w:rPr>
          <w:rFonts w:ascii="Arial" w:hAnsi="Arial" w:cs="Arial"/>
          <w:szCs w:val="22"/>
        </w:rPr>
        <w:t xml:space="preserve">CAs in advance of a future peer </w:t>
      </w:r>
      <w:r w:rsidRPr="006B04E3">
        <w:rPr>
          <w:rFonts w:ascii="Arial" w:hAnsi="Arial" w:cs="Arial"/>
          <w:szCs w:val="22"/>
        </w:rPr>
        <w:t>challenge offer</w:t>
      </w:r>
    </w:p>
    <w:p w14:paraId="54E3B83B" w14:textId="53AF677D" w:rsidR="003E41E5" w:rsidRPr="006B04E3" w:rsidRDefault="002D39A7" w:rsidP="006B04E3">
      <w:pPr>
        <w:pStyle w:val="ListParagraph"/>
        <w:numPr>
          <w:ilvl w:val="1"/>
          <w:numId w:val="45"/>
        </w:numPr>
        <w:spacing w:after="240"/>
        <w:rPr>
          <w:rFonts w:ascii="Arial" w:hAnsi="Arial" w:cs="Arial"/>
          <w:szCs w:val="22"/>
        </w:rPr>
      </w:pPr>
      <w:r w:rsidRPr="006B04E3">
        <w:rPr>
          <w:rFonts w:ascii="Arial" w:hAnsi="Arial" w:cs="Arial"/>
          <w:szCs w:val="22"/>
        </w:rPr>
        <w:t>establishing a mayoral support offer:</w:t>
      </w:r>
    </w:p>
    <w:p w14:paraId="30C81CDC" w14:textId="77777777" w:rsidR="003E41E5" w:rsidRPr="006B04E3" w:rsidRDefault="002D39A7" w:rsidP="006B04E3">
      <w:pPr>
        <w:pStyle w:val="ListParagraph"/>
        <w:numPr>
          <w:ilvl w:val="2"/>
          <w:numId w:val="45"/>
        </w:numPr>
        <w:spacing w:after="240"/>
        <w:rPr>
          <w:rFonts w:ascii="Arial" w:hAnsi="Arial" w:cs="Arial"/>
          <w:szCs w:val="22"/>
        </w:rPr>
      </w:pPr>
      <w:r w:rsidRPr="006B04E3">
        <w:rPr>
          <w:rFonts w:ascii="Arial" w:hAnsi="Arial" w:cs="Arial"/>
          <w:szCs w:val="22"/>
        </w:rPr>
        <w:t xml:space="preserve">convening the first meeting of new mayors/deputy mayors since their election. This mayoral forum offered the chance for CA mayors to meet senior civil servants from Whitehall to discuss their role in driving economic growth and provided an opportunity to build links with commonwealth mayors and discuss international trade and investment. </w:t>
      </w:r>
      <w:r w:rsidR="00ED711B" w:rsidRPr="006B04E3">
        <w:rPr>
          <w:rFonts w:ascii="Arial" w:hAnsi="Arial" w:cs="Arial"/>
          <w:szCs w:val="22"/>
        </w:rPr>
        <w:t xml:space="preserve">The </w:t>
      </w:r>
      <w:r w:rsidRPr="006B04E3">
        <w:rPr>
          <w:rFonts w:ascii="Arial" w:hAnsi="Arial" w:cs="Arial"/>
          <w:szCs w:val="22"/>
        </w:rPr>
        <w:t>LGA will convene a further meeting (at the mayors</w:t>
      </w:r>
      <w:r w:rsidR="00A20AB5" w:rsidRPr="006B04E3">
        <w:rPr>
          <w:rFonts w:ascii="Arial" w:hAnsi="Arial" w:cs="Arial"/>
          <w:szCs w:val="22"/>
        </w:rPr>
        <w:t>’</w:t>
      </w:r>
      <w:r w:rsidRPr="006B04E3">
        <w:rPr>
          <w:rFonts w:ascii="Arial" w:hAnsi="Arial" w:cs="Arial"/>
          <w:szCs w:val="22"/>
        </w:rPr>
        <w:t xml:space="preserve"> request) in the Autumn</w:t>
      </w:r>
    </w:p>
    <w:p w14:paraId="6F434390" w14:textId="77777777" w:rsidR="003E41E5" w:rsidRPr="006B04E3" w:rsidRDefault="002D39A7" w:rsidP="006B04E3">
      <w:pPr>
        <w:pStyle w:val="ListParagraph"/>
        <w:numPr>
          <w:ilvl w:val="2"/>
          <w:numId w:val="45"/>
        </w:numPr>
        <w:spacing w:after="240"/>
        <w:rPr>
          <w:rFonts w:ascii="Arial" w:hAnsi="Arial" w:cs="Arial"/>
          <w:szCs w:val="22"/>
        </w:rPr>
      </w:pPr>
      <w:r w:rsidRPr="006B04E3">
        <w:rPr>
          <w:rFonts w:ascii="Arial" w:hAnsi="Arial" w:cs="Arial"/>
          <w:szCs w:val="22"/>
        </w:rPr>
        <w:t xml:space="preserve">establishing a mayoral secretariat with dedicated officer capacity to: facilitate engagement between </w:t>
      </w:r>
      <w:r w:rsidR="00D26F09" w:rsidRPr="006B04E3">
        <w:rPr>
          <w:rFonts w:ascii="Arial" w:hAnsi="Arial" w:cs="Arial"/>
          <w:szCs w:val="22"/>
        </w:rPr>
        <w:t>m</w:t>
      </w:r>
      <w:r w:rsidRPr="006B04E3">
        <w:rPr>
          <w:rFonts w:ascii="Arial" w:hAnsi="Arial" w:cs="Arial"/>
          <w:szCs w:val="22"/>
        </w:rPr>
        <w:t xml:space="preserve">ayoral CAs and Whitehall, coordinate briefings and research of shared interest to the </w:t>
      </w:r>
      <w:r w:rsidR="00D26F09" w:rsidRPr="006B04E3">
        <w:rPr>
          <w:rFonts w:ascii="Arial" w:hAnsi="Arial" w:cs="Arial"/>
          <w:szCs w:val="22"/>
        </w:rPr>
        <w:t>m</w:t>
      </w:r>
      <w:r w:rsidRPr="006B04E3">
        <w:rPr>
          <w:rFonts w:ascii="Arial" w:hAnsi="Arial" w:cs="Arial"/>
          <w:szCs w:val="22"/>
        </w:rPr>
        <w:t>ayoral CAs, arrange ministerial meetings for the mayors and, where required, the leaders of CA member councils. It will also advise on external support offers</w:t>
      </w:r>
    </w:p>
    <w:p w14:paraId="17CFB138" w14:textId="77777777" w:rsidR="003E41E5" w:rsidRPr="006B04E3" w:rsidRDefault="003E41E5" w:rsidP="006B04E3">
      <w:pPr>
        <w:spacing w:after="240"/>
        <w:rPr>
          <w:rFonts w:ascii="Arial" w:hAnsi="Arial" w:cs="Arial"/>
          <w:szCs w:val="22"/>
        </w:rPr>
      </w:pPr>
    </w:p>
    <w:p w14:paraId="5DFE7948" w14:textId="77777777" w:rsidR="003E41E5" w:rsidRPr="006B04E3" w:rsidRDefault="002D39A7" w:rsidP="006B04E3">
      <w:pPr>
        <w:pStyle w:val="ListParagraph"/>
        <w:numPr>
          <w:ilvl w:val="1"/>
          <w:numId w:val="45"/>
        </w:numPr>
        <w:spacing w:after="240"/>
        <w:rPr>
          <w:rFonts w:ascii="Arial" w:hAnsi="Arial" w:cs="Arial"/>
          <w:szCs w:val="22"/>
        </w:rPr>
      </w:pPr>
      <w:r w:rsidRPr="006B04E3">
        <w:rPr>
          <w:rFonts w:ascii="Arial" w:hAnsi="Arial" w:cs="Arial"/>
          <w:szCs w:val="22"/>
        </w:rPr>
        <w:lastRenderedPageBreak/>
        <w:t>working with Universities UK and the Higher Education Funding Council for England to:</w:t>
      </w:r>
    </w:p>
    <w:p w14:paraId="454F1E32" w14:textId="77777777" w:rsidR="003E41E5" w:rsidRPr="006B04E3" w:rsidRDefault="002D39A7" w:rsidP="006B04E3">
      <w:pPr>
        <w:pStyle w:val="ListParagraph"/>
        <w:numPr>
          <w:ilvl w:val="2"/>
          <w:numId w:val="45"/>
        </w:numPr>
        <w:spacing w:after="240"/>
        <w:rPr>
          <w:rFonts w:ascii="Arial" w:hAnsi="Arial" w:cs="Arial"/>
          <w:szCs w:val="22"/>
        </w:rPr>
      </w:pPr>
      <w:r w:rsidRPr="006B04E3">
        <w:rPr>
          <w:rFonts w:ascii="Arial" w:hAnsi="Arial" w:cs="Arial"/>
          <w:szCs w:val="22"/>
        </w:rPr>
        <w:t>complete the pilot phase of the Leading Places project, which aims to strengthen and develop place-based collaborative leadership between the local government and higher education sectors, at a national event on 28 March attended by over 100 delegates</w:t>
      </w:r>
    </w:p>
    <w:p w14:paraId="7E37BBBA" w14:textId="77777777" w:rsidR="003E41E5" w:rsidRPr="006B04E3" w:rsidRDefault="002D39A7" w:rsidP="006B04E3">
      <w:pPr>
        <w:pStyle w:val="ListParagraph"/>
        <w:numPr>
          <w:ilvl w:val="2"/>
          <w:numId w:val="45"/>
        </w:numPr>
        <w:spacing w:after="240"/>
        <w:rPr>
          <w:rFonts w:ascii="Arial" w:hAnsi="Arial" w:cs="Arial"/>
          <w:szCs w:val="22"/>
        </w:rPr>
      </w:pPr>
      <w:r w:rsidRPr="006B04E3">
        <w:rPr>
          <w:rFonts w:ascii="Arial" w:hAnsi="Arial" w:cs="Arial"/>
          <w:szCs w:val="22"/>
        </w:rPr>
        <w:t>launched phase two of Leading Places, following a call for expressions of interest</w:t>
      </w:r>
      <w:r w:rsidR="00ED711B" w:rsidRPr="006B04E3">
        <w:rPr>
          <w:rFonts w:ascii="Arial" w:hAnsi="Arial" w:cs="Arial"/>
          <w:szCs w:val="22"/>
        </w:rPr>
        <w:t xml:space="preserve">; </w:t>
      </w:r>
      <w:r w:rsidRPr="006B04E3">
        <w:rPr>
          <w:rFonts w:ascii="Arial" w:hAnsi="Arial" w:cs="Arial"/>
          <w:szCs w:val="22"/>
        </w:rPr>
        <w:t>the project is now live in 15 areas</w:t>
      </w:r>
    </w:p>
    <w:p w14:paraId="62AD98A3" w14:textId="0DE10D26" w:rsidR="003E41E5" w:rsidRPr="006B04E3" w:rsidRDefault="002D39A7" w:rsidP="006B04E3">
      <w:pPr>
        <w:pStyle w:val="ListParagraph"/>
        <w:numPr>
          <w:ilvl w:val="2"/>
          <w:numId w:val="45"/>
        </w:numPr>
        <w:spacing w:after="240"/>
        <w:rPr>
          <w:rFonts w:ascii="Arial" w:hAnsi="Arial" w:cs="Arial"/>
          <w:szCs w:val="22"/>
        </w:rPr>
      </w:pPr>
      <w:r w:rsidRPr="006B04E3">
        <w:rPr>
          <w:rFonts w:ascii="Arial" w:hAnsi="Arial" w:cs="Arial"/>
          <w:szCs w:val="22"/>
        </w:rPr>
        <w:t>supported the delivery of the first phase of the Local Growth Academy, a collaborative leadership development programme aimed at the higher education and local government sectors, now planning for second phase to be launched in November</w:t>
      </w:r>
    </w:p>
    <w:p w14:paraId="4E413DBE" w14:textId="1C58B434" w:rsidR="006B04E3" w:rsidRPr="0021059B" w:rsidRDefault="00D26F09" w:rsidP="006B04E3">
      <w:pPr>
        <w:pStyle w:val="ListParagraph"/>
        <w:numPr>
          <w:ilvl w:val="1"/>
          <w:numId w:val="45"/>
        </w:numPr>
        <w:spacing w:after="240"/>
        <w:rPr>
          <w:rFonts w:ascii="Arial" w:hAnsi="Arial" w:cs="Arial"/>
          <w:szCs w:val="22"/>
        </w:rPr>
      </w:pPr>
      <w:r w:rsidRPr="006B04E3">
        <w:rPr>
          <w:rFonts w:ascii="Arial" w:hAnsi="Arial" w:cs="Arial"/>
          <w:szCs w:val="22"/>
        </w:rPr>
        <w:t>c</w:t>
      </w:r>
      <w:r w:rsidR="002D39A7" w:rsidRPr="006B04E3">
        <w:rPr>
          <w:rFonts w:ascii="Arial" w:hAnsi="Arial" w:cs="Arial"/>
          <w:szCs w:val="22"/>
        </w:rPr>
        <w:t>ontinuing to develop and deliver our bespoke support offer to areas looking to secure and advance local devolution, including: leadership support, overview and scrutiny support, policy development, communications and negotiations with Whitehall.</w:t>
      </w:r>
    </w:p>
    <w:p w14:paraId="1CAF876A" w14:textId="5644D56B" w:rsidR="00B4180F" w:rsidRPr="006B04E3" w:rsidRDefault="0008033C" w:rsidP="006B04E3">
      <w:pPr>
        <w:spacing w:after="240"/>
        <w:rPr>
          <w:rFonts w:ascii="Arial" w:eastAsia="Calibri" w:hAnsi="Arial" w:cs="Arial"/>
          <w:b/>
          <w:bCs/>
          <w:szCs w:val="22"/>
          <w:u w:val="single"/>
          <w:lang w:eastAsia="en-US"/>
        </w:rPr>
      </w:pPr>
      <w:r w:rsidRPr="006B04E3">
        <w:rPr>
          <w:rFonts w:ascii="Arial" w:eastAsia="Calibri" w:hAnsi="Arial" w:cs="Arial"/>
          <w:b/>
          <w:bCs/>
          <w:szCs w:val="22"/>
          <w:u w:val="single"/>
          <w:lang w:eastAsia="en-US"/>
        </w:rPr>
        <w:t xml:space="preserve">Community Wellbeing </w:t>
      </w:r>
      <w:r w:rsidR="00FE624B" w:rsidRPr="006B04E3">
        <w:rPr>
          <w:rFonts w:ascii="Arial" w:eastAsia="Calibri" w:hAnsi="Arial" w:cs="Arial"/>
          <w:b/>
          <w:bCs/>
          <w:szCs w:val="22"/>
          <w:u w:val="single"/>
          <w:lang w:eastAsia="en-US"/>
        </w:rPr>
        <w:t>Board</w:t>
      </w:r>
    </w:p>
    <w:p w14:paraId="37CB17F3" w14:textId="77777777" w:rsidR="006B04E3" w:rsidRPr="006B04E3" w:rsidRDefault="005576EC" w:rsidP="006B04E3">
      <w:pPr>
        <w:pStyle w:val="ListParagraph"/>
        <w:numPr>
          <w:ilvl w:val="0"/>
          <w:numId w:val="45"/>
        </w:numPr>
        <w:spacing w:after="240"/>
        <w:rPr>
          <w:rFonts w:ascii="Arial" w:hAnsi="Arial" w:cs="Arial"/>
          <w:iCs/>
          <w:szCs w:val="22"/>
          <w:lang w:val="en"/>
        </w:rPr>
      </w:pPr>
      <w:r w:rsidRPr="006B04E3">
        <w:rPr>
          <w:rFonts w:ascii="Arial" w:hAnsi="Arial" w:cs="Arial"/>
          <w:iCs/>
          <w:szCs w:val="22"/>
        </w:rPr>
        <w:t>We published updated ‘</w:t>
      </w:r>
      <w:hyperlink r:id="rId15" w:history="1">
        <w:r w:rsidRPr="006B04E3">
          <w:rPr>
            <w:rStyle w:val="Hyperlink"/>
            <w:rFonts w:ascii="Arial" w:hAnsi="Arial" w:cs="Arial"/>
            <w:iCs/>
            <w:szCs w:val="22"/>
            <w:u w:val="none"/>
          </w:rPr>
          <w:t>must knows</w:t>
        </w:r>
      </w:hyperlink>
      <w:r w:rsidRPr="006B04E3">
        <w:rPr>
          <w:rFonts w:ascii="Arial" w:hAnsi="Arial" w:cs="Arial"/>
          <w:iCs/>
          <w:szCs w:val="22"/>
        </w:rPr>
        <w:t xml:space="preserve">’ for new lead members of adult social care on integration, use of resources and performance and a new must know on Sustainability and Transformation Plans (STPs). </w:t>
      </w:r>
      <w:r w:rsidRPr="006B04E3">
        <w:rPr>
          <w:rFonts w:ascii="Arial" w:hAnsi="Arial" w:cs="Arial"/>
          <w:iCs/>
          <w:szCs w:val="22"/>
          <w:lang w:val="en"/>
        </w:rPr>
        <w:t xml:space="preserve">The 'must knows' are a long-standing source of information and support and focuses on the key issues facing portfolio holders, reviewed on a rolling basis. </w:t>
      </w:r>
    </w:p>
    <w:p w14:paraId="7F55AA4F" w14:textId="77777777" w:rsidR="006B04E3" w:rsidRPr="006B04E3" w:rsidRDefault="005576EC" w:rsidP="006B04E3">
      <w:pPr>
        <w:pStyle w:val="ListParagraph"/>
        <w:numPr>
          <w:ilvl w:val="0"/>
          <w:numId w:val="45"/>
        </w:numPr>
        <w:spacing w:after="240"/>
        <w:rPr>
          <w:rFonts w:ascii="Arial" w:hAnsi="Arial" w:cs="Arial"/>
          <w:iCs/>
          <w:szCs w:val="22"/>
          <w:lang w:val="en"/>
        </w:rPr>
      </w:pPr>
      <w:r w:rsidRPr="006B04E3">
        <w:rPr>
          <w:rFonts w:ascii="Arial" w:hAnsi="Arial" w:cs="Arial"/>
          <w:iCs/>
          <w:szCs w:val="22"/>
          <w:lang w:val="en"/>
        </w:rPr>
        <w:t xml:space="preserve">A joint </w:t>
      </w:r>
      <w:hyperlink r:id="rId16" w:history="1">
        <w:r w:rsidRPr="006B04E3">
          <w:rPr>
            <w:rStyle w:val="Hyperlink"/>
            <w:rFonts w:ascii="Arial" w:hAnsi="Arial" w:cs="Arial"/>
            <w:iCs/>
            <w:szCs w:val="22"/>
            <w:u w:val="none"/>
            <w:lang w:val="en"/>
          </w:rPr>
          <w:t>publication</w:t>
        </w:r>
      </w:hyperlink>
      <w:r w:rsidRPr="006B04E3">
        <w:rPr>
          <w:rFonts w:ascii="Arial" w:hAnsi="Arial" w:cs="Arial"/>
          <w:iCs/>
          <w:szCs w:val="22"/>
          <w:lang w:val="en"/>
        </w:rPr>
        <w:t xml:space="preserve"> with the Association of Directors of Social Services (ADASS), the National Trading Standards (NTS) Scams Team and the Adult Principal Social Worker Network (APSWN), outlines how to recognise and respond to the signs of financial abuse</w:t>
      </w:r>
      <w:r w:rsidR="00ED711B" w:rsidRPr="006B04E3">
        <w:rPr>
          <w:rFonts w:ascii="Arial" w:hAnsi="Arial" w:cs="Arial"/>
          <w:iCs/>
          <w:szCs w:val="22"/>
          <w:lang w:val="en"/>
        </w:rPr>
        <w:t>,</w:t>
      </w:r>
      <w:r w:rsidRPr="006B04E3">
        <w:rPr>
          <w:rFonts w:ascii="Arial" w:hAnsi="Arial" w:cs="Arial"/>
          <w:iCs/>
          <w:szCs w:val="22"/>
          <w:lang w:val="en"/>
        </w:rPr>
        <w:t xml:space="preserve"> and the effects of scams as part of local safeguarding activity, with a focus on the key roles of councillors and Health and Wellbeing Boards. </w:t>
      </w:r>
    </w:p>
    <w:p w14:paraId="5166AC10" w14:textId="4B0C6661" w:rsidR="006B04E3" w:rsidRPr="0021059B" w:rsidRDefault="005576EC" w:rsidP="006B04E3">
      <w:pPr>
        <w:pStyle w:val="ListParagraph"/>
        <w:numPr>
          <w:ilvl w:val="0"/>
          <w:numId w:val="45"/>
        </w:numPr>
        <w:spacing w:after="240"/>
        <w:rPr>
          <w:rFonts w:ascii="Arial" w:hAnsi="Arial" w:cs="Arial"/>
          <w:iCs/>
          <w:szCs w:val="22"/>
          <w:lang w:val="en"/>
        </w:rPr>
      </w:pPr>
      <w:r w:rsidRPr="006B04E3">
        <w:rPr>
          <w:rFonts w:ascii="Arial" w:hAnsi="Arial" w:cs="Arial"/>
          <w:iCs/>
          <w:szCs w:val="22"/>
          <w:lang w:val="en"/>
        </w:rPr>
        <w:t xml:space="preserve">An induction for new lead leaders of care and health will be held jointly with the </w:t>
      </w:r>
      <w:r w:rsidR="00ED711B" w:rsidRPr="006B04E3">
        <w:rPr>
          <w:rFonts w:ascii="Arial" w:hAnsi="Arial" w:cs="Arial"/>
          <w:iCs/>
          <w:szCs w:val="22"/>
          <w:lang w:val="en"/>
        </w:rPr>
        <w:t>Care and Health Improvement Programme (</w:t>
      </w:r>
      <w:r w:rsidRPr="006B04E3">
        <w:rPr>
          <w:rFonts w:ascii="Arial" w:hAnsi="Arial" w:cs="Arial"/>
          <w:iCs/>
          <w:szCs w:val="22"/>
          <w:lang w:val="en"/>
        </w:rPr>
        <w:t>CHIP</w:t>
      </w:r>
      <w:r w:rsidR="00ED711B" w:rsidRPr="006B04E3">
        <w:rPr>
          <w:rFonts w:ascii="Arial" w:hAnsi="Arial" w:cs="Arial"/>
          <w:iCs/>
          <w:szCs w:val="22"/>
          <w:lang w:val="en"/>
        </w:rPr>
        <w:t>)</w:t>
      </w:r>
      <w:r w:rsidRPr="006B04E3">
        <w:rPr>
          <w:rFonts w:ascii="Arial" w:hAnsi="Arial" w:cs="Arial"/>
          <w:iCs/>
          <w:szCs w:val="22"/>
          <w:lang w:val="en"/>
        </w:rPr>
        <w:t xml:space="preserve"> on 18 July.</w:t>
      </w:r>
    </w:p>
    <w:p w14:paraId="0BF215C0" w14:textId="6F5963EB" w:rsidR="00EA4CF3" w:rsidRPr="006B04E3" w:rsidRDefault="00EA4CF3" w:rsidP="006B04E3">
      <w:pPr>
        <w:pStyle w:val="Default"/>
        <w:spacing w:after="240"/>
        <w:rPr>
          <w:bCs/>
          <w:sz w:val="22"/>
          <w:szCs w:val="22"/>
          <w:u w:val="single"/>
        </w:rPr>
      </w:pPr>
      <w:r w:rsidRPr="006B04E3">
        <w:rPr>
          <w:bCs/>
          <w:sz w:val="22"/>
          <w:szCs w:val="22"/>
          <w:u w:val="single"/>
        </w:rPr>
        <w:t>Care and Health Improvement Programme (CHIP)</w:t>
      </w:r>
    </w:p>
    <w:p w14:paraId="6E4F2F5B" w14:textId="77777777" w:rsidR="006B04E3" w:rsidRPr="006B04E3" w:rsidRDefault="00EA4CF3" w:rsidP="006B04E3">
      <w:pPr>
        <w:pStyle w:val="Default"/>
        <w:numPr>
          <w:ilvl w:val="0"/>
          <w:numId w:val="45"/>
        </w:numPr>
        <w:spacing w:after="240"/>
        <w:rPr>
          <w:color w:val="auto"/>
          <w:sz w:val="22"/>
          <w:szCs w:val="22"/>
        </w:rPr>
      </w:pPr>
      <w:r w:rsidRPr="006B04E3">
        <w:rPr>
          <w:color w:val="auto"/>
          <w:sz w:val="22"/>
          <w:szCs w:val="22"/>
        </w:rPr>
        <w:t xml:space="preserve">CHIP is the sector-led improvement programme for adult social care </w:t>
      </w:r>
      <w:r w:rsidR="00E77252" w:rsidRPr="006B04E3">
        <w:rPr>
          <w:color w:val="auto"/>
          <w:sz w:val="22"/>
          <w:szCs w:val="22"/>
        </w:rPr>
        <w:t xml:space="preserve">(ASC) </w:t>
      </w:r>
      <w:r w:rsidRPr="006B04E3">
        <w:rPr>
          <w:color w:val="auto"/>
          <w:sz w:val="22"/>
          <w:szCs w:val="22"/>
        </w:rPr>
        <w:t>and health. It is funded mainly by the Department of Health (DH) with contributions from the NHS for some digital activity and Transforming Care. DH has agreed to continue that funding until March 2020 based on a set of priorities around risk and resilience, effective care and health systems and our contribution to the Transforming Care Programme.</w:t>
      </w:r>
    </w:p>
    <w:p w14:paraId="6F86A80C" w14:textId="77777777" w:rsidR="006B04E3" w:rsidRPr="006B04E3" w:rsidRDefault="00EA4CF3" w:rsidP="006B04E3">
      <w:pPr>
        <w:pStyle w:val="Default"/>
        <w:numPr>
          <w:ilvl w:val="0"/>
          <w:numId w:val="45"/>
        </w:numPr>
        <w:spacing w:after="240"/>
        <w:rPr>
          <w:color w:val="auto"/>
          <w:sz w:val="22"/>
          <w:szCs w:val="22"/>
        </w:rPr>
      </w:pPr>
      <w:r w:rsidRPr="006B04E3">
        <w:rPr>
          <w:color w:val="auto"/>
          <w:sz w:val="22"/>
          <w:szCs w:val="22"/>
        </w:rPr>
        <w:t>Insight and activity from January to June 2017 includes the following:</w:t>
      </w:r>
    </w:p>
    <w:p w14:paraId="600D45AF" w14:textId="77777777" w:rsidR="006B04E3" w:rsidRPr="006B04E3" w:rsidRDefault="00EA4CF3" w:rsidP="006B04E3">
      <w:pPr>
        <w:pStyle w:val="Default"/>
        <w:numPr>
          <w:ilvl w:val="1"/>
          <w:numId w:val="45"/>
        </w:numPr>
        <w:spacing w:after="240"/>
        <w:rPr>
          <w:color w:val="auto"/>
          <w:sz w:val="22"/>
          <w:szCs w:val="22"/>
        </w:rPr>
      </w:pPr>
      <w:r w:rsidRPr="006B04E3">
        <w:rPr>
          <w:rFonts w:eastAsia="Times New Roman"/>
          <w:color w:val="auto"/>
          <w:sz w:val="22"/>
          <w:szCs w:val="22"/>
          <w:lang w:eastAsia="en-GB"/>
        </w:rPr>
        <w:lastRenderedPageBreak/>
        <w:t>We continue with preparations to roll out Better Care Fund (BCF)/integration support when the guidance goes live. We have launched the Better Care Advisers/Multidisciplinary Consultants (BCA/MDC) Support Programme. This is designed to ensure councils and their partners develop a compliant BCF plan and/or progress integration locally. We are currently processing 20 requests but implementation is contingent on publication of the planning guidance.</w:t>
      </w:r>
    </w:p>
    <w:p w14:paraId="47CF5715" w14:textId="77777777" w:rsidR="006B04E3" w:rsidRPr="006B04E3" w:rsidRDefault="00EA4CF3" w:rsidP="006B04E3">
      <w:pPr>
        <w:pStyle w:val="Default"/>
        <w:numPr>
          <w:ilvl w:val="1"/>
          <w:numId w:val="45"/>
        </w:numPr>
        <w:spacing w:after="240"/>
        <w:rPr>
          <w:color w:val="auto"/>
          <w:sz w:val="22"/>
          <w:szCs w:val="22"/>
        </w:rPr>
      </w:pPr>
      <w:r w:rsidRPr="006B04E3">
        <w:rPr>
          <w:rFonts w:eastAsia="Times New Roman"/>
          <w:color w:val="auto"/>
          <w:sz w:val="22"/>
          <w:szCs w:val="22"/>
          <w:lang w:eastAsia="en-GB"/>
        </w:rPr>
        <w:t>We ran five facilitated integration tool workshops with the NHS Confederation with more planned for 2017/18. These are part of our support package to assist areas assess their readiness for the integration of care and health services and develop plans.</w:t>
      </w:r>
    </w:p>
    <w:p w14:paraId="3A90F233" w14:textId="77777777" w:rsidR="006B04E3" w:rsidRPr="006B04E3" w:rsidRDefault="00006F24" w:rsidP="006B04E3">
      <w:pPr>
        <w:pStyle w:val="Default"/>
        <w:numPr>
          <w:ilvl w:val="1"/>
          <w:numId w:val="45"/>
        </w:numPr>
        <w:spacing w:after="240"/>
        <w:rPr>
          <w:color w:val="auto"/>
          <w:sz w:val="22"/>
          <w:szCs w:val="22"/>
        </w:rPr>
      </w:pPr>
      <w:r w:rsidRPr="006B04E3">
        <w:rPr>
          <w:rFonts w:eastAsia="Times New Roman"/>
          <w:color w:val="auto"/>
          <w:sz w:val="22"/>
          <w:szCs w:val="22"/>
          <w:lang w:eastAsia="en-GB"/>
        </w:rPr>
        <w:t>O</w:t>
      </w:r>
      <w:r w:rsidR="00EA4CF3" w:rsidRPr="006B04E3">
        <w:rPr>
          <w:rFonts w:eastAsia="Times New Roman"/>
          <w:color w:val="auto"/>
          <w:sz w:val="22"/>
          <w:szCs w:val="22"/>
          <w:lang w:eastAsia="en-GB"/>
        </w:rPr>
        <w:t xml:space="preserve">ur ongoing support of HWBs is showing that a significant number of </w:t>
      </w:r>
      <w:r w:rsidR="009E6791" w:rsidRPr="006B04E3">
        <w:rPr>
          <w:rFonts w:eastAsia="Times New Roman"/>
          <w:color w:val="auto"/>
          <w:sz w:val="22"/>
          <w:szCs w:val="22"/>
          <w:lang w:eastAsia="en-GB"/>
        </w:rPr>
        <w:t xml:space="preserve">them </w:t>
      </w:r>
      <w:r w:rsidR="00EA4CF3" w:rsidRPr="006B04E3">
        <w:rPr>
          <w:rFonts w:eastAsia="Times New Roman"/>
          <w:color w:val="auto"/>
          <w:sz w:val="22"/>
          <w:szCs w:val="22"/>
          <w:lang w:eastAsia="en-GB"/>
        </w:rPr>
        <w:t>have reasserted a focus on the wider determinants of health and their place-based leadership role, recognising a need to provide the compelling strategic context for STPs and an important base to achieving a more sustainable care and health system. This involves working with boards across the STP footprint and widening membership to include police, fire, housing providers</w:t>
      </w:r>
      <w:r w:rsidR="00E77252" w:rsidRPr="006B04E3">
        <w:rPr>
          <w:rFonts w:eastAsia="Times New Roman"/>
          <w:color w:val="auto"/>
          <w:sz w:val="22"/>
          <w:szCs w:val="22"/>
          <w:lang w:eastAsia="en-GB"/>
        </w:rPr>
        <w:t>,</w:t>
      </w:r>
      <w:r w:rsidR="00EA4CF3" w:rsidRPr="006B04E3">
        <w:rPr>
          <w:rFonts w:eastAsia="Times New Roman"/>
          <w:color w:val="auto"/>
          <w:sz w:val="22"/>
          <w:szCs w:val="22"/>
          <w:lang w:eastAsia="en-GB"/>
        </w:rPr>
        <w:t xml:space="preserve"> etc. Links between the economy, employment, housing, growth and wellbeing are seen by many as a key element of this approach.</w:t>
      </w:r>
    </w:p>
    <w:p w14:paraId="5A611EA3" w14:textId="77777777" w:rsidR="006B04E3" w:rsidRPr="006B04E3" w:rsidRDefault="00EA4CF3" w:rsidP="006B04E3">
      <w:pPr>
        <w:pStyle w:val="Default"/>
        <w:numPr>
          <w:ilvl w:val="1"/>
          <w:numId w:val="45"/>
        </w:numPr>
        <w:spacing w:after="240"/>
        <w:rPr>
          <w:color w:val="auto"/>
          <w:sz w:val="22"/>
          <w:szCs w:val="22"/>
        </w:rPr>
      </w:pPr>
      <w:r w:rsidRPr="006B04E3">
        <w:rPr>
          <w:sz w:val="22"/>
          <w:szCs w:val="22"/>
        </w:rPr>
        <w:t>Elsewhere, requests for support on funding flows increase. This was one of the most frequent requests raised through the learning disability commissioners’ survey and is a recurring issue across transforming care systems. Lack of security was also a recurring theme identified through the Safeguarding Adults Boards Chairs self-audit on the Care Act. Our national finance Care and Health Improvement Adviser (CHIA) worked to better understand the underlying factors and devise appropriate local solutions. We now offer finance support to some council partners, including joint workshops with NHS</w:t>
      </w:r>
      <w:r w:rsidR="00741D62" w:rsidRPr="006B04E3">
        <w:rPr>
          <w:sz w:val="22"/>
          <w:szCs w:val="22"/>
        </w:rPr>
        <w:t xml:space="preserve"> </w:t>
      </w:r>
      <w:r w:rsidRPr="006B04E3">
        <w:rPr>
          <w:sz w:val="22"/>
          <w:szCs w:val="22"/>
        </w:rPr>
        <w:t>E</w:t>
      </w:r>
      <w:r w:rsidR="00741D62" w:rsidRPr="006B04E3">
        <w:rPr>
          <w:sz w:val="22"/>
          <w:szCs w:val="22"/>
        </w:rPr>
        <w:t>ngland (NHSE)</w:t>
      </w:r>
      <w:r w:rsidRPr="006B04E3">
        <w:rPr>
          <w:sz w:val="22"/>
          <w:szCs w:val="22"/>
        </w:rPr>
        <w:t xml:space="preserve"> to support work to unblock issues around the funding flows. We have also co-produced a national finance template in partnership with NHSE to establish funding position of councils, enabling targeted support and continued national discussions. </w:t>
      </w:r>
    </w:p>
    <w:p w14:paraId="5F2841FF" w14:textId="77777777" w:rsidR="006B04E3" w:rsidRPr="006B04E3" w:rsidRDefault="00EA4CF3" w:rsidP="006B04E3">
      <w:pPr>
        <w:pStyle w:val="Default"/>
        <w:numPr>
          <w:ilvl w:val="1"/>
          <w:numId w:val="45"/>
        </w:numPr>
        <w:spacing w:after="240"/>
        <w:rPr>
          <w:color w:val="auto"/>
          <w:sz w:val="22"/>
          <w:szCs w:val="22"/>
        </w:rPr>
      </w:pPr>
      <w:r w:rsidRPr="006B04E3">
        <w:rPr>
          <w:rFonts w:eastAsia="Times New Roman"/>
          <w:color w:val="auto"/>
          <w:sz w:val="22"/>
          <w:szCs w:val="22"/>
          <w:lang w:eastAsia="en-GB"/>
        </w:rPr>
        <w:t>We have published an updated Risk Awareness Tool (complementing Association of Directors of Adult Social Services (ADASS) and Chartered Institute of Public Finance and Accountancy (CIPFA</w:t>
      </w:r>
      <w:r w:rsidR="00E77252" w:rsidRPr="006B04E3">
        <w:rPr>
          <w:rFonts w:eastAsia="Times New Roman"/>
          <w:color w:val="auto"/>
          <w:sz w:val="22"/>
          <w:szCs w:val="22"/>
          <w:lang w:eastAsia="en-GB"/>
        </w:rPr>
        <w:t>)</w:t>
      </w:r>
      <w:r w:rsidRPr="006B04E3">
        <w:rPr>
          <w:rFonts w:eastAsia="Times New Roman"/>
          <w:color w:val="auto"/>
          <w:sz w:val="22"/>
          <w:szCs w:val="22"/>
          <w:lang w:eastAsia="en-GB"/>
        </w:rPr>
        <w:t xml:space="preserve"> tools</w:t>
      </w:r>
      <w:r w:rsidR="00E77252" w:rsidRPr="006B04E3">
        <w:rPr>
          <w:rFonts w:eastAsia="Times New Roman"/>
          <w:color w:val="auto"/>
          <w:sz w:val="22"/>
          <w:szCs w:val="22"/>
          <w:lang w:eastAsia="en-GB"/>
        </w:rPr>
        <w:t>)</w:t>
      </w:r>
      <w:r w:rsidRPr="006B04E3">
        <w:rPr>
          <w:rFonts w:eastAsia="Times New Roman"/>
          <w:color w:val="auto"/>
          <w:sz w:val="22"/>
          <w:szCs w:val="22"/>
          <w:lang w:eastAsia="en-GB"/>
        </w:rPr>
        <w:t xml:space="preserve">. We have repositioned the tool as the main methodology for </w:t>
      </w:r>
      <w:r w:rsidR="00E77252" w:rsidRPr="006B04E3">
        <w:rPr>
          <w:rFonts w:eastAsia="Times New Roman"/>
          <w:color w:val="auto"/>
          <w:sz w:val="22"/>
          <w:szCs w:val="22"/>
          <w:lang w:eastAsia="en-GB"/>
        </w:rPr>
        <w:t xml:space="preserve">ASC </w:t>
      </w:r>
      <w:r w:rsidRPr="006B04E3">
        <w:rPr>
          <w:rFonts w:eastAsia="Times New Roman"/>
          <w:color w:val="auto"/>
          <w:sz w:val="22"/>
          <w:szCs w:val="22"/>
          <w:lang w:eastAsia="en-GB"/>
        </w:rPr>
        <w:t>risks and have linked it to other tools/offers in the sector. Our CHIAs are promoting the tool to support DASSs and senior leaders to target resources on the most pressing needs, ensure political and executive leaders are well informed for their decision making duties and that ADASS regions can focus their sector-led improvement activity to areas in most need. We have also delivered some bespoke support on managing and mitigating financial risk with some challenged councils where requested. We have also launched a facilitated risk awareness self-assessment support offer.</w:t>
      </w:r>
    </w:p>
    <w:p w14:paraId="1C63CABC" w14:textId="77777777" w:rsidR="006B04E3" w:rsidRPr="006B04E3" w:rsidRDefault="00EA4CF3" w:rsidP="006B04E3">
      <w:pPr>
        <w:pStyle w:val="Default"/>
        <w:numPr>
          <w:ilvl w:val="1"/>
          <w:numId w:val="45"/>
        </w:numPr>
        <w:spacing w:after="240"/>
        <w:rPr>
          <w:color w:val="auto"/>
          <w:sz w:val="22"/>
          <w:szCs w:val="22"/>
        </w:rPr>
      </w:pPr>
      <w:r w:rsidRPr="006B04E3">
        <w:rPr>
          <w:sz w:val="22"/>
          <w:szCs w:val="22"/>
        </w:rPr>
        <w:t xml:space="preserve">Separately, demand remains high for facilitated, tailored sessions on financial risk. This is revealing that financial risk is inextricably linked with, and creating pressure </w:t>
      </w:r>
      <w:r w:rsidRPr="006B04E3">
        <w:rPr>
          <w:sz w:val="22"/>
          <w:szCs w:val="22"/>
        </w:rPr>
        <w:lastRenderedPageBreak/>
        <w:t>on, other areas of ASC risk particularly workforce, markets, managing demand, prevention and commissioning.</w:t>
      </w:r>
    </w:p>
    <w:p w14:paraId="232AC880" w14:textId="77777777" w:rsidR="006B04E3" w:rsidRPr="006B04E3" w:rsidRDefault="00EA4CF3" w:rsidP="006B04E3">
      <w:pPr>
        <w:pStyle w:val="Default"/>
        <w:numPr>
          <w:ilvl w:val="1"/>
          <w:numId w:val="45"/>
        </w:numPr>
        <w:spacing w:after="240"/>
        <w:rPr>
          <w:color w:val="auto"/>
          <w:sz w:val="22"/>
          <w:szCs w:val="22"/>
        </w:rPr>
      </w:pPr>
      <w:r w:rsidRPr="006B04E3">
        <w:rPr>
          <w:sz w:val="22"/>
          <w:szCs w:val="22"/>
        </w:rPr>
        <w:t>Our work on commissioning continues to develop. We hosted national market shaping event and planning social care delivery with Public Sector Transformation Academy/Whitehall and Industry Group with over 70 commissioners and care providers attending. We have commissioned a third party to develop the Integrated Commissioning for Better Outcomes (iCBO) framework supported by a reference group of councils and C</w:t>
      </w:r>
      <w:r w:rsidR="00E77252" w:rsidRPr="006B04E3">
        <w:rPr>
          <w:sz w:val="22"/>
          <w:szCs w:val="22"/>
        </w:rPr>
        <w:t xml:space="preserve">linical </w:t>
      </w:r>
      <w:r w:rsidRPr="006B04E3">
        <w:rPr>
          <w:sz w:val="22"/>
          <w:szCs w:val="22"/>
        </w:rPr>
        <w:t>C</w:t>
      </w:r>
      <w:r w:rsidR="00E77252" w:rsidRPr="006B04E3">
        <w:rPr>
          <w:sz w:val="22"/>
          <w:szCs w:val="22"/>
        </w:rPr>
        <w:t xml:space="preserve">ommissioning </w:t>
      </w:r>
      <w:r w:rsidRPr="006B04E3">
        <w:rPr>
          <w:sz w:val="22"/>
          <w:szCs w:val="22"/>
        </w:rPr>
        <w:t>G</w:t>
      </w:r>
      <w:r w:rsidR="00E77252" w:rsidRPr="006B04E3">
        <w:rPr>
          <w:sz w:val="22"/>
          <w:szCs w:val="22"/>
        </w:rPr>
        <w:t>roups</w:t>
      </w:r>
      <w:r w:rsidRPr="006B04E3">
        <w:rPr>
          <w:sz w:val="22"/>
          <w:szCs w:val="22"/>
        </w:rPr>
        <w:t>. We also took up coordinator responsibilities as part of Quality Matters Action Plan, leading on the CBO priority.</w:t>
      </w:r>
    </w:p>
    <w:p w14:paraId="4CCB80A0" w14:textId="77777777" w:rsidR="006B04E3" w:rsidRPr="006B04E3" w:rsidRDefault="00EA4CF3" w:rsidP="006B04E3">
      <w:pPr>
        <w:pStyle w:val="Default"/>
        <w:numPr>
          <w:ilvl w:val="1"/>
          <w:numId w:val="45"/>
        </w:numPr>
        <w:spacing w:after="240"/>
        <w:rPr>
          <w:color w:val="auto"/>
          <w:sz w:val="22"/>
          <w:szCs w:val="22"/>
        </w:rPr>
      </w:pPr>
      <w:r w:rsidRPr="006B04E3">
        <w:rPr>
          <w:rFonts w:eastAsia="Times New Roman"/>
          <w:color w:val="auto"/>
          <w:sz w:val="22"/>
          <w:szCs w:val="22"/>
          <w:lang w:eastAsia="en-GB"/>
        </w:rPr>
        <w:t>The updated High Impact Change Model was also published with inclusion in the BCF national</w:t>
      </w:r>
      <w:r w:rsidR="00006F24" w:rsidRPr="006B04E3">
        <w:rPr>
          <w:rFonts w:eastAsia="Times New Roman"/>
          <w:color w:val="auto"/>
          <w:sz w:val="22"/>
          <w:szCs w:val="22"/>
          <w:lang w:eastAsia="en-GB"/>
        </w:rPr>
        <w:t xml:space="preserve"> conditions highlighting it’s </w:t>
      </w:r>
      <w:r w:rsidRPr="006B04E3">
        <w:rPr>
          <w:rFonts w:eastAsia="Times New Roman"/>
          <w:color w:val="auto"/>
          <w:sz w:val="22"/>
          <w:szCs w:val="22"/>
          <w:lang w:eastAsia="en-GB"/>
        </w:rPr>
        <w:t>significance in supporting local health and care systems. Again, our CHIAs will be promoting the benefits of the tool’s practical support on patient flow and discharge and assessment of systems</w:t>
      </w:r>
      <w:r w:rsidR="00E77252" w:rsidRPr="006B04E3">
        <w:rPr>
          <w:rFonts w:eastAsia="Times New Roman"/>
          <w:color w:val="auto"/>
          <w:sz w:val="22"/>
          <w:szCs w:val="22"/>
          <w:lang w:eastAsia="en-GB"/>
        </w:rPr>
        <w:t>’</w:t>
      </w:r>
      <w:r w:rsidRPr="006B04E3">
        <w:rPr>
          <w:rFonts w:eastAsia="Times New Roman"/>
          <w:color w:val="auto"/>
          <w:sz w:val="22"/>
          <w:szCs w:val="22"/>
          <w:lang w:eastAsia="en-GB"/>
        </w:rPr>
        <w:t xml:space="preserve"> current effectiveness and consideration of new interventions. The reported numbers of delayed transfers of care</w:t>
      </w:r>
      <w:r w:rsidR="00E77252" w:rsidRPr="006B04E3">
        <w:rPr>
          <w:rFonts w:eastAsia="Times New Roman"/>
          <w:color w:val="auto"/>
          <w:sz w:val="22"/>
          <w:szCs w:val="22"/>
          <w:lang w:eastAsia="en-GB"/>
        </w:rPr>
        <w:t xml:space="preserve"> (DToCs) </w:t>
      </w:r>
      <w:r w:rsidRPr="006B04E3">
        <w:rPr>
          <w:rFonts w:eastAsia="Times New Roman"/>
          <w:color w:val="auto"/>
          <w:sz w:val="22"/>
          <w:szCs w:val="22"/>
          <w:lang w:eastAsia="en-GB"/>
        </w:rPr>
        <w:t>remain high in comparison to previous years. We continue to work with system partners to deliver a coordinated support offer that is of benefit in the short, medium and long term.</w:t>
      </w:r>
    </w:p>
    <w:p w14:paraId="45A8D237" w14:textId="77777777" w:rsidR="006B04E3" w:rsidRPr="006B04E3" w:rsidRDefault="00EA4CF3" w:rsidP="006B04E3">
      <w:pPr>
        <w:pStyle w:val="Default"/>
        <w:numPr>
          <w:ilvl w:val="1"/>
          <w:numId w:val="45"/>
        </w:numPr>
        <w:spacing w:after="240"/>
        <w:rPr>
          <w:color w:val="auto"/>
          <w:sz w:val="22"/>
          <w:szCs w:val="22"/>
        </w:rPr>
      </w:pPr>
      <w:r w:rsidRPr="006B04E3">
        <w:rPr>
          <w:rFonts w:eastAsia="Times New Roman"/>
          <w:color w:val="auto"/>
          <w:sz w:val="22"/>
          <w:szCs w:val="22"/>
          <w:lang w:eastAsia="en-GB"/>
        </w:rPr>
        <w:t xml:space="preserve">Our efficiency work has received NHS approval for a new project building on the health and care system efficiencies work to support system leaders in the north to develop a more sustainable model with reduced </w:t>
      </w:r>
      <w:r w:rsidR="00E77252" w:rsidRPr="006B04E3">
        <w:rPr>
          <w:rFonts w:eastAsia="Times New Roman"/>
          <w:color w:val="auto"/>
          <w:sz w:val="22"/>
          <w:szCs w:val="22"/>
          <w:lang w:eastAsia="en-GB"/>
        </w:rPr>
        <w:t>DToCs</w:t>
      </w:r>
      <w:r w:rsidRPr="006B04E3">
        <w:rPr>
          <w:rFonts w:eastAsia="Times New Roman"/>
          <w:color w:val="auto"/>
          <w:sz w:val="22"/>
          <w:szCs w:val="22"/>
          <w:lang w:eastAsia="en-GB"/>
        </w:rPr>
        <w:t>. The first of three detailed assessments revealed that a lack of understanding and trust between partner organisations, process focus rather than patient focus and complexity of systems and pathways are causes of delays to care transfers.</w:t>
      </w:r>
    </w:p>
    <w:p w14:paraId="4603153F" w14:textId="28F0E9DA" w:rsidR="006B04E3" w:rsidRPr="006B04E3" w:rsidRDefault="00EA4CF3" w:rsidP="006B04E3">
      <w:pPr>
        <w:pStyle w:val="Default"/>
        <w:numPr>
          <w:ilvl w:val="1"/>
          <w:numId w:val="45"/>
        </w:numPr>
        <w:spacing w:after="240"/>
        <w:rPr>
          <w:color w:val="auto"/>
          <w:sz w:val="22"/>
          <w:szCs w:val="22"/>
        </w:rPr>
      </w:pPr>
      <w:r w:rsidRPr="006B04E3">
        <w:rPr>
          <w:rFonts w:eastAsia="Times New Roman"/>
          <w:color w:val="auto"/>
          <w:sz w:val="22"/>
          <w:szCs w:val="22"/>
          <w:lang w:eastAsia="en-GB"/>
        </w:rPr>
        <w:t>Final evaluation visits with the ten councils participating in the efficiency project were conducted with learning to be shared through forthcoming events and workshops. A report on the findings will be published in due course</w:t>
      </w:r>
      <w:r w:rsidR="006B04E3" w:rsidRPr="006B04E3">
        <w:rPr>
          <w:rFonts w:eastAsia="Times New Roman"/>
          <w:color w:val="auto"/>
          <w:sz w:val="22"/>
          <w:szCs w:val="22"/>
          <w:lang w:eastAsia="en-GB"/>
        </w:rPr>
        <w:t>.</w:t>
      </w:r>
    </w:p>
    <w:p w14:paraId="2C3364FD" w14:textId="77777777" w:rsidR="006B04E3" w:rsidRPr="006B04E3" w:rsidRDefault="00EA4CF3" w:rsidP="006B04E3">
      <w:pPr>
        <w:pStyle w:val="Default"/>
        <w:numPr>
          <w:ilvl w:val="1"/>
          <w:numId w:val="45"/>
        </w:numPr>
        <w:spacing w:after="240"/>
        <w:rPr>
          <w:color w:val="auto"/>
          <w:sz w:val="22"/>
          <w:szCs w:val="22"/>
        </w:rPr>
      </w:pPr>
      <w:r w:rsidRPr="006B04E3">
        <w:rPr>
          <w:sz w:val="22"/>
          <w:szCs w:val="22"/>
        </w:rPr>
        <w:t>The first two cross system health and care peer challenge pilots were completed. Evaluation of the methodology and future approach for the learning disability/Transforming Care peer review methodology is also underway.</w:t>
      </w:r>
    </w:p>
    <w:p w14:paraId="01474FDC" w14:textId="77777777" w:rsidR="006B04E3" w:rsidRPr="006B04E3" w:rsidRDefault="00EA4CF3" w:rsidP="006B04E3">
      <w:pPr>
        <w:pStyle w:val="Default"/>
        <w:numPr>
          <w:ilvl w:val="1"/>
          <w:numId w:val="45"/>
        </w:numPr>
        <w:spacing w:after="240"/>
        <w:rPr>
          <w:color w:val="auto"/>
          <w:sz w:val="22"/>
          <w:szCs w:val="22"/>
        </w:rPr>
      </w:pPr>
      <w:r w:rsidRPr="006B04E3">
        <w:rPr>
          <w:rFonts w:eastAsia="Times New Roman"/>
          <w:color w:val="auto"/>
          <w:sz w:val="22"/>
          <w:szCs w:val="22"/>
          <w:lang w:eastAsia="en-GB"/>
        </w:rPr>
        <w:t>For the fourth year, we ran the popular Annual HWB Chair and Vice Chair summit with NHS Clinical Commissioners attracting over 60 delegates.</w:t>
      </w:r>
    </w:p>
    <w:p w14:paraId="75ECAC8C" w14:textId="77777777" w:rsidR="006B04E3" w:rsidRPr="006B04E3" w:rsidRDefault="00EA4CF3" w:rsidP="006B04E3">
      <w:pPr>
        <w:pStyle w:val="Default"/>
        <w:numPr>
          <w:ilvl w:val="1"/>
          <w:numId w:val="45"/>
        </w:numPr>
        <w:spacing w:after="240"/>
        <w:rPr>
          <w:color w:val="auto"/>
          <w:sz w:val="22"/>
          <w:szCs w:val="22"/>
        </w:rPr>
      </w:pPr>
      <w:r w:rsidRPr="006B04E3">
        <w:rPr>
          <w:sz w:val="22"/>
          <w:szCs w:val="22"/>
        </w:rPr>
        <w:t>Highlights of our NHS funded digital and information work include:</w:t>
      </w:r>
    </w:p>
    <w:p w14:paraId="4C1ED803" w14:textId="1D274BAA" w:rsidR="006B04E3" w:rsidRPr="006B04E3" w:rsidRDefault="00EA4CF3" w:rsidP="006B04E3">
      <w:pPr>
        <w:pStyle w:val="Default"/>
        <w:numPr>
          <w:ilvl w:val="2"/>
          <w:numId w:val="45"/>
        </w:numPr>
        <w:spacing w:after="240"/>
        <w:rPr>
          <w:color w:val="auto"/>
          <w:sz w:val="22"/>
          <w:szCs w:val="22"/>
        </w:rPr>
      </w:pPr>
      <w:r w:rsidRPr="006B04E3">
        <w:rPr>
          <w:sz w:val="22"/>
          <w:szCs w:val="22"/>
        </w:rPr>
        <w:t>Launch of the updated Social Care Digital Maturity Self-Assessment with councils following co-design with the sector. In a similar approach to last year, this is a voluntary self-assessment for councils to help them understand their local progress and consider local priorities. Self-assessment also includes guidance and case studies to support knowledge sharing across the sector. It close</w:t>
      </w:r>
      <w:r w:rsidR="008E728A" w:rsidRPr="006B04E3">
        <w:rPr>
          <w:sz w:val="22"/>
          <w:szCs w:val="22"/>
        </w:rPr>
        <w:t>d</w:t>
      </w:r>
      <w:r w:rsidRPr="006B04E3">
        <w:rPr>
          <w:sz w:val="22"/>
          <w:szCs w:val="22"/>
        </w:rPr>
        <w:t xml:space="preserve"> at the end of June with 93</w:t>
      </w:r>
      <w:r w:rsidR="008E728A" w:rsidRPr="006B04E3">
        <w:rPr>
          <w:sz w:val="22"/>
          <w:szCs w:val="22"/>
        </w:rPr>
        <w:t xml:space="preserve"> </w:t>
      </w:r>
      <w:r w:rsidRPr="006B04E3">
        <w:rPr>
          <w:sz w:val="22"/>
          <w:szCs w:val="22"/>
        </w:rPr>
        <w:t xml:space="preserve">councils signed up </w:t>
      </w:r>
      <w:r w:rsidR="008E728A" w:rsidRPr="006B04E3">
        <w:rPr>
          <w:sz w:val="22"/>
          <w:szCs w:val="22"/>
        </w:rPr>
        <w:t xml:space="preserve">as of </w:t>
      </w:r>
      <w:r w:rsidRPr="006B04E3">
        <w:rPr>
          <w:sz w:val="22"/>
          <w:szCs w:val="22"/>
        </w:rPr>
        <w:t>9</w:t>
      </w:r>
      <w:r w:rsidR="008E728A" w:rsidRPr="006B04E3">
        <w:rPr>
          <w:sz w:val="22"/>
          <w:szCs w:val="22"/>
        </w:rPr>
        <w:t xml:space="preserve"> June</w:t>
      </w:r>
      <w:r w:rsidRPr="006B04E3">
        <w:rPr>
          <w:sz w:val="22"/>
          <w:szCs w:val="22"/>
        </w:rPr>
        <w:t>. We will work closely with councils to support them in use and adoption</w:t>
      </w:r>
      <w:r w:rsidR="006B04E3" w:rsidRPr="006B04E3">
        <w:rPr>
          <w:sz w:val="22"/>
          <w:szCs w:val="22"/>
        </w:rPr>
        <w:t>.</w:t>
      </w:r>
    </w:p>
    <w:p w14:paraId="58D3ABBE" w14:textId="0494032F" w:rsidR="00CC0AAC" w:rsidRPr="0021059B" w:rsidRDefault="00EA4CF3" w:rsidP="006B04E3">
      <w:pPr>
        <w:pStyle w:val="Default"/>
        <w:numPr>
          <w:ilvl w:val="2"/>
          <w:numId w:val="45"/>
        </w:numPr>
        <w:spacing w:after="240"/>
        <w:rPr>
          <w:color w:val="auto"/>
          <w:sz w:val="22"/>
          <w:szCs w:val="22"/>
        </w:rPr>
      </w:pPr>
      <w:r w:rsidRPr="006B04E3">
        <w:rPr>
          <w:sz w:val="22"/>
          <w:szCs w:val="22"/>
        </w:rPr>
        <w:lastRenderedPageBreak/>
        <w:t>Launch of the Digital Local Investment Programme in partnership with NHS Digital</w:t>
      </w:r>
      <w:r w:rsidR="008E728A" w:rsidRPr="006B04E3">
        <w:rPr>
          <w:sz w:val="22"/>
          <w:szCs w:val="22"/>
        </w:rPr>
        <w:t>.</w:t>
      </w:r>
      <w:r w:rsidRPr="006B04E3">
        <w:rPr>
          <w:sz w:val="22"/>
          <w:szCs w:val="22"/>
        </w:rPr>
        <w:t xml:space="preserve"> This is providing £750,000 to support digital activity across social care. 76 applications </w:t>
      </w:r>
      <w:r w:rsidR="008E728A" w:rsidRPr="006B04E3">
        <w:rPr>
          <w:sz w:val="22"/>
          <w:szCs w:val="22"/>
        </w:rPr>
        <w:t xml:space="preserve">were </w:t>
      </w:r>
      <w:r w:rsidRPr="006B04E3">
        <w:rPr>
          <w:sz w:val="22"/>
          <w:szCs w:val="22"/>
        </w:rPr>
        <w:t xml:space="preserve">received from councils and they have been reviewed by </w:t>
      </w:r>
      <w:r w:rsidR="008E728A" w:rsidRPr="006B04E3">
        <w:rPr>
          <w:sz w:val="22"/>
          <w:szCs w:val="22"/>
        </w:rPr>
        <w:t xml:space="preserve">the </w:t>
      </w:r>
      <w:r w:rsidRPr="006B04E3">
        <w:rPr>
          <w:sz w:val="22"/>
          <w:szCs w:val="22"/>
        </w:rPr>
        <w:t xml:space="preserve">LGA, DH, NHS Digital with external input from Kings Fund and technical input from Socitm (Society of IT Managers). 15 councils </w:t>
      </w:r>
      <w:r w:rsidR="008E728A" w:rsidRPr="006B04E3">
        <w:rPr>
          <w:sz w:val="22"/>
          <w:szCs w:val="22"/>
        </w:rPr>
        <w:t xml:space="preserve">are </w:t>
      </w:r>
      <w:r w:rsidRPr="006B04E3">
        <w:rPr>
          <w:sz w:val="22"/>
          <w:szCs w:val="22"/>
        </w:rPr>
        <w:t xml:space="preserve">to </w:t>
      </w:r>
      <w:r w:rsidR="008E728A" w:rsidRPr="006B04E3">
        <w:rPr>
          <w:sz w:val="22"/>
          <w:szCs w:val="22"/>
        </w:rPr>
        <w:t xml:space="preserve">receive </w:t>
      </w:r>
      <w:r w:rsidRPr="006B04E3">
        <w:rPr>
          <w:sz w:val="22"/>
          <w:szCs w:val="22"/>
        </w:rPr>
        <w:t>investment funds of up to £50,000.</w:t>
      </w:r>
    </w:p>
    <w:p w14:paraId="68E5B3E9" w14:textId="4BDDFF97" w:rsidR="0008033C" w:rsidRPr="006B04E3" w:rsidRDefault="0088476B" w:rsidP="006B04E3">
      <w:pPr>
        <w:tabs>
          <w:tab w:val="left" w:pos="4785"/>
        </w:tabs>
        <w:spacing w:after="240" w:line="276" w:lineRule="auto"/>
        <w:rPr>
          <w:rFonts w:ascii="Arial" w:eastAsiaTheme="minorHAnsi" w:hAnsi="Arial" w:cs="Arial"/>
          <w:b/>
          <w:szCs w:val="22"/>
          <w:u w:val="single"/>
          <w:lang w:eastAsia="en-US"/>
        </w:rPr>
      </w:pPr>
      <w:r w:rsidRPr="006B04E3">
        <w:rPr>
          <w:rFonts w:ascii="Arial" w:eastAsiaTheme="minorHAnsi" w:hAnsi="Arial" w:cs="Arial"/>
          <w:b/>
          <w:szCs w:val="22"/>
          <w:u w:val="single"/>
          <w:lang w:eastAsia="en-US"/>
        </w:rPr>
        <w:t>Culture, Tourism and Sport</w:t>
      </w:r>
      <w:r w:rsidR="0008033C" w:rsidRPr="006B04E3">
        <w:rPr>
          <w:rFonts w:ascii="Arial" w:eastAsiaTheme="minorHAnsi" w:hAnsi="Arial" w:cs="Arial"/>
          <w:b/>
          <w:szCs w:val="22"/>
          <w:u w:val="single"/>
          <w:lang w:eastAsia="en-US"/>
        </w:rPr>
        <w:t xml:space="preserve"> </w:t>
      </w:r>
      <w:r w:rsidR="003D69FF" w:rsidRPr="006B04E3">
        <w:rPr>
          <w:rFonts w:ascii="Arial" w:eastAsiaTheme="minorHAnsi" w:hAnsi="Arial" w:cs="Arial"/>
          <w:b/>
          <w:szCs w:val="22"/>
          <w:u w:val="single"/>
          <w:lang w:eastAsia="en-US"/>
        </w:rPr>
        <w:t xml:space="preserve">(CTS) </w:t>
      </w:r>
      <w:r w:rsidR="0008033C" w:rsidRPr="006B04E3">
        <w:rPr>
          <w:rFonts w:ascii="Arial" w:eastAsiaTheme="minorHAnsi" w:hAnsi="Arial" w:cs="Arial"/>
          <w:b/>
          <w:szCs w:val="22"/>
          <w:u w:val="single"/>
          <w:lang w:eastAsia="en-US"/>
        </w:rPr>
        <w:t>Board</w:t>
      </w:r>
    </w:p>
    <w:p w14:paraId="398E860E" w14:textId="5F6DC824" w:rsidR="004B2754" w:rsidRPr="006B04E3" w:rsidRDefault="004B2754" w:rsidP="006B04E3">
      <w:pPr>
        <w:pStyle w:val="ListParagraph"/>
        <w:numPr>
          <w:ilvl w:val="0"/>
          <w:numId w:val="45"/>
        </w:numPr>
        <w:spacing w:after="240"/>
        <w:rPr>
          <w:rFonts w:ascii="Arial" w:hAnsi="Arial" w:cs="Arial"/>
          <w:szCs w:val="22"/>
        </w:rPr>
      </w:pPr>
      <w:r w:rsidRPr="006B04E3">
        <w:rPr>
          <w:rFonts w:ascii="Arial" w:hAnsi="Arial" w:cs="Arial"/>
          <w:szCs w:val="22"/>
        </w:rPr>
        <w:t>An Archives, Libraries and Museums peer challenge took place in Herefordshire Council in May 2017.</w:t>
      </w:r>
    </w:p>
    <w:p w14:paraId="0A6E00A3" w14:textId="591AED9F" w:rsidR="004B2754" w:rsidRPr="006B04E3" w:rsidRDefault="004B2754" w:rsidP="006B04E3">
      <w:pPr>
        <w:pStyle w:val="ListParagraph"/>
        <w:numPr>
          <w:ilvl w:val="0"/>
          <w:numId w:val="45"/>
        </w:numPr>
        <w:spacing w:after="240"/>
        <w:rPr>
          <w:rFonts w:ascii="Arial" w:hAnsi="Arial" w:cs="Arial"/>
          <w:szCs w:val="22"/>
        </w:rPr>
      </w:pPr>
      <w:r w:rsidRPr="006B04E3">
        <w:rPr>
          <w:rFonts w:ascii="Arial" w:hAnsi="Arial" w:cs="Arial"/>
          <w:szCs w:val="22"/>
        </w:rPr>
        <w:t>We are publishing a councillor handbook on library services, to help councils to plan the future of their services and learn from innovative practice in other councils. As part of our work with the Libraries Taskforce, we have also commissioned the development of a benc</w:t>
      </w:r>
      <w:r w:rsidR="00FF042A" w:rsidRPr="006B04E3">
        <w:rPr>
          <w:rFonts w:ascii="Arial" w:hAnsi="Arial" w:cs="Arial"/>
          <w:szCs w:val="22"/>
        </w:rPr>
        <w:t>hmarking framework for library</w:t>
      </w:r>
      <w:r w:rsidRPr="006B04E3">
        <w:rPr>
          <w:rFonts w:ascii="Arial" w:hAnsi="Arial" w:cs="Arial"/>
          <w:szCs w:val="22"/>
        </w:rPr>
        <w:t xml:space="preserve"> services, based on sector best practice, to help library services to self-assess their performance and identify areas for improvement. </w:t>
      </w:r>
    </w:p>
    <w:p w14:paraId="60D33732" w14:textId="2DE7428B" w:rsidR="004B2754" w:rsidRPr="006B04E3" w:rsidRDefault="004B2754" w:rsidP="006B04E3">
      <w:pPr>
        <w:pStyle w:val="ListParagraph"/>
        <w:numPr>
          <w:ilvl w:val="0"/>
          <w:numId w:val="45"/>
        </w:numPr>
        <w:spacing w:after="240"/>
        <w:rPr>
          <w:rFonts w:ascii="Arial" w:hAnsi="Arial" w:cs="Arial"/>
          <w:szCs w:val="22"/>
        </w:rPr>
      </w:pPr>
      <w:r w:rsidRPr="006B04E3">
        <w:rPr>
          <w:rFonts w:ascii="Arial" w:hAnsi="Arial" w:cs="Arial"/>
          <w:szCs w:val="22"/>
        </w:rPr>
        <w:t>A Leadership Essentials Sport event took place on 22 and 23 June 2017, and Arts Council England has confirmed funding for two further Leadership Essentials Culture events on 25 and 26 October 2017, and 7 and 8 December 2017.</w:t>
      </w:r>
    </w:p>
    <w:p w14:paraId="75F6E369" w14:textId="2A0B4FC9" w:rsidR="004B2754" w:rsidRPr="0021059B" w:rsidRDefault="004B2754" w:rsidP="006B04E3">
      <w:pPr>
        <w:pStyle w:val="ListParagraph"/>
        <w:numPr>
          <w:ilvl w:val="0"/>
          <w:numId w:val="45"/>
        </w:numPr>
        <w:spacing w:after="240"/>
        <w:rPr>
          <w:rFonts w:ascii="Arial" w:hAnsi="Arial" w:cs="Arial"/>
          <w:szCs w:val="22"/>
          <w:lang w:eastAsia="en-US"/>
        </w:rPr>
      </w:pPr>
      <w:r w:rsidRPr="006B04E3">
        <w:rPr>
          <w:rFonts w:ascii="Arial" w:hAnsi="Arial" w:cs="Arial"/>
          <w:szCs w:val="22"/>
        </w:rPr>
        <w:t>Discussions are also ongoing with Arts Council England and Sport England to secure further funding to deliver a culture and sport improvement programme during 2017/18.</w:t>
      </w:r>
    </w:p>
    <w:p w14:paraId="5C92C5BD" w14:textId="1C90E5F8" w:rsidR="00772279" w:rsidRPr="006B04E3" w:rsidRDefault="0008033C" w:rsidP="006B04E3">
      <w:pPr>
        <w:spacing w:after="240"/>
        <w:rPr>
          <w:rFonts w:ascii="Arial" w:hAnsi="Arial" w:cs="Arial"/>
          <w:b/>
          <w:szCs w:val="22"/>
          <w:u w:val="single"/>
        </w:rPr>
      </w:pPr>
      <w:r w:rsidRPr="006B04E3">
        <w:rPr>
          <w:rFonts w:ascii="Arial" w:hAnsi="Arial" w:cs="Arial"/>
          <w:b/>
          <w:szCs w:val="22"/>
          <w:u w:val="single"/>
        </w:rPr>
        <w:t xml:space="preserve">Environment, Economy, Housing and Transport </w:t>
      </w:r>
      <w:r w:rsidR="00A55143" w:rsidRPr="006B04E3">
        <w:rPr>
          <w:rFonts w:ascii="Arial" w:hAnsi="Arial" w:cs="Arial"/>
          <w:b/>
          <w:szCs w:val="22"/>
          <w:u w:val="single"/>
        </w:rPr>
        <w:t xml:space="preserve">(EEHT) </w:t>
      </w:r>
      <w:r w:rsidR="006B04E3">
        <w:rPr>
          <w:rFonts w:ascii="Arial" w:hAnsi="Arial" w:cs="Arial"/>
          <w:b/>
          <w:szCs w:val="22"/>
          <w:u w:val="single"/>
        </w:rPr>
        <w:t>Board</w:t>
      </w:r>
    </w:p>
    <w:p w14:paraId="68DDEBB3" w14:textId="77777777" w:rsidR="003064FF" w:rsidRPr="006B04E3" w:rsidRDefault="003064FF" w:rsidP="006B04E3">
      <w:pPr>
        <w:spacing w:after="240"/>
        <w:rPr>
          <w:rFonts w:ascii="Arial" w:hAnsi="Arial" w:cs="Arial"/>
          <w:b/>
          <w:bCs/>
          <w:szCs w:val="22"/>
        </w:rPr>
      </w:pPr>
      <w:r w:rsidRPr="006B04E3">
        <w:rPr>
          <w:rFonts w:ascii="Arial" w:hAnsi="Arial" w:cs="Arial"/>
          <w:b/>
          <w:bCs/>
          <w:szCs w:val="22"/>
        </w:rPr>
        <w:t>Housing</w:t>
      </w:r>
    </w:p>
    <w:p w14:paraId="60DE72A9" w14:textId="6866A0A9" w:rsidR="003064FF" w:rsidRPr="006B04E3" w:rsidRDefault="003064FF" w:rsidP="006B04E3">
      <w:pPr>
        <w:pStyle w:val="ListParagraph"/>
        <w:numPr>
          <w:ilvl w:val="0"/>
          <w:numId w:val="45"/>
        </w:numPr>
        <w:spacing w:after="240"/>
        <w:rPr>
          <w:rFonts w:ascii="Arial" w:hAnsi="Arial" w:cs="Arial"/>
          <w:szCs w:val="22"/>
        </w:rPr>
      </w:pPr>
      <w:r w:rsidRPr="006B04E3">
        <w:rPr>
          <w:rFonts w:ascii="Arial" w:hAnsi="Arial" w:cs="Arial"/>
          <w:szCs w:val="22"/>
        </w:rPr>
        <w:t>The LGA has completed a project and launched a report looking at the different ways that councils can enable housing growth, jointly with the Town and Country Planning Association. This includes, for instance, practice in establishing a housing company, supporting community land trusts, entering into a joint venture with housing associations and private developers, and engaging communities in shaping new development.</w:t>
      </w:r>
    </w:p>
    <w:p w14:paraId="7A98DD46" w14:textId="173B6BEE" w:rsidR="003064FF" w:rsidRPr="006B04E3" w:rsidRDefault="003064FF" w:rsidP="006B04E3">
      <w:pPr>
        <w:pStyle w:val="ListParagraph"/>
        <w:numPr>
          <w:ilvl w:val="0"/>
          <w:numId w:val="45"/>
        </w:numPr>
        <w:spacing w:after="240"/>
        <w:rPr>
          <w:rFonts w:ascii="Arial" w:hAnsi="Arial" w:cs="Arial"/>
          <w:szCs w:val="22"/>
        </w:rPr>
      </w:pPr>
      <w:r w:rsidRPr="006B04E3">
        <w:rPr>
          <w:rFonts w:ascii="Arial" w:hAnsi="Arial" w:cs="Arial"/>
          <w:szCs w:val="22"/>
        </w:rPr>
        <w:t>The LGA is close to completing a project investigating, capturing and presenting council innovation in providing temporary accommodation (TA). The use of TA is rising across the country and is becoming financially unsustainable for more councils. The project captures innovations in reducing the demand for TA, in sourcing new TA – for instance through acquiring and converting property, or constructing new property – or in finding alternatives to TA. The final report and toolkits will be launched shortly, and there will be a learning event in September.</w:t>
      </w:r>
    </w:p>
    <w:p w14:paraId="72054FA8" w14:textId="01269D54" w:rsidR="006B04E3" w:rsidRDefault="003064FF" w:rsidP="006B04E3">
      <w:pPr>
        <w:pStyle w:val="ListParagraph"/>
        <w:numPr>
          <w:ilvl w:val="0"/>
          <w:numId w:val="45"/>
        </w:numPr>
        <w:spacing w:after="240"/>
        <w:rPr>
          <w:rFonts w:ascii="Arial" w:hAnsi="Arial" w:cs="Arial"/>
          <w:szCs w:val="22"/>
        </w:rPr>
      </w:pPr>
      <w:r w:rsidRPr="006B04E3">
        <w:rPr>
          <w:rFonts w:ascii="Arial" w:hAnsi="Arial" w:cs="Arial"/>
          <w:szCs w:val="22"/>
        </w:rPr>
        <w:t>The LGA is close to completing a project looking at how councils can meet the housing need of an ageing population, in ways that integrate housing with health and care. This includes examples of councils engaging older people, using the planning system to understand demographic demand, enabling and shaping a market to deliver age-friendly homes and places, and helping deliver new models of s</w:t>
      </w:r>
      <w:r w:rsidR="006B04E3">
        <w:rPr>
          <w:rFonts w:ascii="Arial" w:hAnsi="Arial" w:cs="Arial"/>
          <w:szCs w:val="22"/>
        </w:rPr>
        <w:t>upported and extra care housing.</w:t>
      </w:r>
    </w:p>
    <w:p w14:paraId="50A9C91C" w14:textId="77777777" w:rsidR="006B04E3" w:rsidRDefault="003064FF" w:rsidP="006B04E3">
      <w:pPr>
        <w:pStyle w:val="ListParagraph"/>
        <w:numPr>
          <w:ilvl w:val="0"/>
          <w:numId w:val="45"/>
        </w:numPr>
        <w:spacing w:after="240"/>
        <w:rPr>
          <w:rFonts w:ascii="Arial" w:hAnsi="Arial" w:cs="Arial"/>
          <w:szCs w:val="22"/>
        </w:rPr>
      </w:pPr>
      <w:r w:rsidRPr="006B04E3">
        <w:rPr>
          <w:rFonts w:ascii="Arial" w:hAnsi="Arial" w:cs="Arial"/>
          <w:szCs w:val="22"/>
        </w:rPr>
        <w:lastRenderedPageBreak/>
        <w:t>The LGA is planning the launch of a Housing Advisers Programme to provide expert advice and support for councils seeking to innovate or improve in the direct or indirect delivery of new homes, in planning for new homes, and in adapting and responding to homelessness. The programme will require participating councils and advisers to write up the learning experience to be included in wider LGA improvement activity, events and promotions. The pr</w:t>
      </w:r>
      <w:r w:rsidR="006B04E3">
        <w:rPr>
          <w:rFonts w:ascii="Arial" w:hAnsi="Arial" w:cs="Arial"/>
          <w:szCs w:val="22"/>
        </w:rPr>
        <w:t>ogramme hopes to launch shortly.</w:t>
      </w:r>
    </w:p>
    <w:p w14:paraId="02108ED6" w14:textId="77777777" w:rsidR="006B04E3" w:rsidRDefault="003064FF" w:rsidP="006B04E3">
      <w:pPr>
        <w:pStyle w:val="ListParagraph"/>
        <w:numPr>
          <w:ilvl w:val="0"/>
          <w:numId w:val="45"/>
        </w:numPr>
        <w:spacing w:after="240"/>
        <w:rPr>
          <w:rFonts w:ascii="Arial" w:hAnsi="Arial" w:cs="Arial"/>
          <w:szCs w:val="22"/>
        </w:rPr>
      </w:pPr>
      <w:r w:rsidRPr="006B04E3">
        <w:rPr>
          <w:rFonts w:ascii="Arial" w:hAnsi="Arial" w:cs="Arial"/>
          <w:szCs w:val="22"/>
        </w:rPr>
        <w:t>The LGA is currently scoping other sector-wide learning projects to support councils to respond to and meet local housing need to be delivered over the course of 2017/18.</w:t>
      </w:r>
    </w:p>
    <w:p w14:paraId="388EB45C" w14:textId="50445EF7" w:rsidR="003064FF" w:rsidRPr="006B04E3" w:rsidRDefault="003064FF" w:rsidP="006B04E3">
      <w:pPr>
        <w:pStyle w:val="ListParagraph"/>
        <w:numPr>
          <w:ilvl w:val="0"/>
          <w:numId w:val="45"/>
        </w:numPr>
        <w:spacing w:after="240"/>
        <w:rPr>
          <w:rFonts w:ascii="Arial" w:hAnsi="Arial" w:cs="Arial"/>
          <w:szCs w:val="22"/>
        </w:rPr>
      </w:pPr>
      <w:r w:rsidRPr="006B04E3">
        <w:rPr>
          <w:rFonts w:ascii="Arial" w:hAnsi="Arial" w:cs="Arial"/>
          <w:szCs w:val="22"/>
        </w:rPr>
        <w:t>The LGA is running 8 free housing peer challenges, and will offer housing peer challenges as part of its wider sector-led improvement offer.</w:t>
      </w:r>
    </w:p>
    <w:p w14:paraId="61031462" w14:textId="77777777" w:rsidR="003064FF" w:rsidRPr="006B04E3" w:rsidRDefault="00E118DA" w:rsidP="006B04E3">
      <w:pPr>
        <w:spacing w:after="240"/>
        <w:rPr>
          <w:rFonts w:ascii="Arial" w:hAnsi="Arial" w:cs="Arial"/>
          <w:b/>
          <w:bCs/>
          <w:szCs w:val="22"/>
        </w:rPr>
      </w:pPr>
      <w:r w:rsidRPr="006B04E3">
        <w:rPr>
          <w:rFonts w:ascii="Arial" w:hAnsi="Arial" w:cs="Arial"/>
          <w:b/>
          <w:bCs/>
          <w:szCs w:val="22"/>
        </w:rPr>
        <w:t>Unlocking Growth through Partnership</w:t>
      </w:r>
    </w:p>
    <w:p w14:paraId="1EE8944F" w14:textId="3717B60F" w:rsidR="00FE2386" w:rsidRPr="0021059B" w:rsidRDefault="00E118DA" w:rsidP="006B04E3">
      <w:pPr>
        <w:pStyle w:val="ListParagraph"/>
        <w:numPr>
          <w:ilvl w:val="0"/>
          <w:numId w:val="45"/>
        </w:numPr>
        <w:spacing w:after="240"/>
        <w:rPr>
          <w:rFonts w:ascii="Arial" w:hAnsi="Arial" w:cs="Arial"/>
          <w:szCs w:val="22"/>
        </w:rPr>
      </w:pPr>
      <w:r w:rsidRPr="006B04E3">
        <w:rPr>
          <w:rFonts w:ascii="Arial" w:hAnsi="Arial" w:cs="Arial"/>
          <w:szCs w:val="22"/>
        </w:rPr>
        <w:t xml:space="preserve">Following joint study visits to Southampton and Milton Keynes councils, the LGA and British Property Federation launched a good practice report on </w:t>
      </w:r>
      <w:hyperlink r:id="rId17" w:history="1">
        <w:r w:rsidRPr="006B04E3">
          <w:rPr>
            <w:rStyle w:val="Hyperlink"/>
            <w:rFonts w:ascii="Arial" w:hAnsi="Arial" w:cs="Arial"/>
            <w:color w:val="0563C1"/>
            <w:szCs w:val="22"/>
          </w:rPr>
          <w:t>local development, growth and regeneration through successful public/private collaboration</w:t>
        </w:r>
      </w:hyperlink>
      <w:r w:rsidRPr="006B04E3">
        <w:rPr>
          <w:rFonts w:ascii="Arial" w:hAnsi="Arial" w:cs="Arial"/>
          <w:szCs w:val="22"/>
        </w:rPr>
        <w:t xml:space="preserve"> at an event attended by leaders from local government, the development and investment industries and central government. The report includes recommendations for councils, development industry and central Government.</w:t>
      </w:r>
    </w:p>
    <w:p w14:paraId="64167F95" w14:textId="679211E3" w:rsidR="009E40D4" w:rsidRPr="006B04E3" w:rsidRDefault="0008033C" w:rsidP="006B04E3">
      <w:pPr>
        <w:pStyle w:val="NoSpacing"/>
        <w:spacing w:after="240"/>
        <w:rPr>
          <w:rFonts w:ascii="Arial" w:eastAsia="Calibri" w:hAnsi="Arial" w:cs="Arial"/>
          <w:b/>
          <w:szCs w:val="22"/>
          <w:u w:val="single"/>
          <w:lang w:eastAsia="en-US"/>
        </w:rPr>
      </w:pPr>
      <w:r w:rsidRPr="006B04E3">
        <w:rPr>
          <w:rFonts w:ascii="Arial" w:eastAsia="Calibri" w:hAnsi="Arial" w:cs="Arial"/>
          <w:b/>
          <w:szCs w:val="22"/>
          <w:u w:val="single"/>
          <w:lang w:eastAsia="en-US"/>
        </w:rPr>
        <w:t>Safer and Stronger Communities Board</w:t>
      </w:r>
    </w:p>
    <w:p w14:paraId="2419103A" w14:textId="3FF8FF7F" w:rsidR="001C61C7" w:rsidRPr="006B04E3" w:rsidRDefault="006B04E3" w:rsidP="006B04E3">
      <w:pPr>
        <w:pStyle w:val="Default"/>
        <w:tabs>
          <w:tab w:val="left" w:pos="567"/>
        </w:tabs>
        <w:spacing w:after="240"/>
        <w:rPr>
          <w:b/>
          <w:color w:val="auto"/>
          <w:sz w:val="22"/>
          <w:szCs w:val="22"/>
        </w:rPr>
      </w:pPr>
      <w:r>
        <w:rPr>
          <w:b/>
          <w:color w:val="auto"/>
          <w:sz w:val="22"/>
          <w:szCs w:val="22"/>
        </w:rPr>
        <w:t>Modern Slavery</w:t>
      </w:r>
    </w:p>
    <w:p w14:paraId="4375F777" w14:textId="77777777" w:rsidR="006B04E3" w:rsidRDefault="001C61C7" w:rsidP="006B04E3">
      <w:pPr>
        <w:pStyle w:val="Default"/>
        <w:numPr>
          <w:ilvl w:val="0"/>
          <w:numId w:val="45"/>
        </w:numPr>
        <w:tabs>
          <w:tab w:val="left" w:pos="567"/>
        </w:tabs>
        <w:suppressAutoHyphens/>
        <w:adjustRightInd/>
        <w:spacing w:after="240"/>
        <w:textAlignment w:val="baseline"/>
        <w:rPr>
          <w:b/>
          <w:color w:val="auto"/>
          <w:sz w:val="22"/>
          <w:szCs w:val="22"/>
        </w:rPr>
      </w:pPr>
      <w:r w:rsidRPr="006B04E3">
        <w:rPr>
          <w:color w:val="auto"/>
          <w:sz w:val="22"/>
          <w:szCs w:val="22"/>
        </w:rPr>
        <w:t>The LGA has been working since January with the Independent Anti-Slavery Commissioner’s office on producing a guide for councillors on modern slavery. The aim of the guide will be to provide a high level overview to support councils to:</w:t>
      </w:r>
    </w:p>
    <w:p w14:paraId="522C6E1D" w14:textId="77777777" w:rsidR="006B04E3" w:rsidRDefault="001C61C7" w:rsidP="006B04E3">
      <w:pPr>
        <w:pStyle w:val="Default"/>
        <w:numPr>
          <w:ilvl w:val="1"/>
          <w:numId w:val="45"/>
        </w:numPr>
        <w:tabs>
          <w:tab w:val="left" w:pos="567"/>
        </w:tabs>
        <w:suppressAutoHyphens/>
        <w:adjustRightInd/>
        <w:spacing w:after="240"/>
        <w:textAlignment w:val="baseline"/>
        <w:rPr>
          <w:b/>
          <w:color w:val="auto"/>
          <w:sz w:val="22"/>
          <w:szCs w:val="22"/>
        </w:rPr>
      </w:pPr>
      <w:r w:rsidRPr="006B04E3">
        <w:rPr>
          <w:color w:val="auto"/>
          <w:sz w:val="22"/>
          <w:szCs w:val="22"/>
        </w:rPr>
        <w:t>recognise modern slavery in their local areas</w:t>
      </w:r>
    </w:p>
    <w:p w14:paraId="2DF8BE58" w14:textId="77777777" w:rsidR="006B04E3" w:rsidRDefault="001C61C7" w:rsidP="006B04E3">
      <w:pPr>
        <w:pStyle w:val="Default"/>
        <w:numPr>
          <w:ilvl w:val="1"/>
          <w:numId w:val="45"/>
        </w:numPr>
        <w:tabs>
          <w:tab w:val="left" w:pos="567"/>
        </w:tabs>
        <w:suppressAutoHyphens/>
        <w:adjustRightInd/>
        <w:spacing w:after="240"/>
        <w:textAlignment w:val="baseline"/>
        <w:rPr>
          <w:b/>
          <w:color w:val="auto"/>
          <w:sz w:val="22"/>
          <w:szCs w:val="22"/>
        </w:rPr>
      </w:pPr>
      <w:r w:rsidRPr="006B04E3">
        <w:rPr>
          <w:color w:val="auto"/>
          <w:sz w:val="22"/>
          <w:szCs w:val="22"/>
        </w:rPr>
        <w:t>refer it appropriately</w:t>
      </w:r>
    </w:p>
    <w:p w14:paraId="3CB390BC" w14:textId="77777777" w:rsidR="006B04E3" w:rsidRDefault="001C61C7" w:rsidP="006B04E3">
      <w:pPr>
        <w:pStyle w:val="Default"/>
        <w:numPr>
          <w:ilvl w:val="1"/>
          <w:numId w:val="45"/>
        </w:numPr>
        <w:tabs>
          <w:tab w:val="left" w:pos="567"/>
        </w:tabs>
        <w:suppressAutoHyphens/>
        <w:adjustRightInd/>
        <w:spacing w:after="240"/>
        <w:textAlignment w:val="baseline"/>
        <w:rPr>
          <w:b/>
          <w:color w:val="auto"/>
          <w:sz w:val="22"/>
          <w:szCs w:val="22"/>
        </w:rPr>
      </w:pPr>
      <w:r w:rsidRPr="006B04E3">
        <w:rPr>
          <w:color w:val="auto"/>
          <w:sz w:val="22"/>
          <w:szCs w:val="22"/>
        </w:rPr>
        <w:t>spot potential victims of modern slavery, both adults and children, and support them appropriately</w:t>
      </w:r>
    </w:p>
    <w:p w14:paraId="139F307A" w14:textId="77777777" w:rsidR="006B04E3" w:rsidRDefault="001C61C7" w:rsidP="006B04E3">
      <w:pPr>
        <w:pStyle w:val="Default"/>
        <w:numPr>
          <w:ilvl w:val="1"/>
          <w:numId w:val="45"/>
        </w:numPr>
        <w:tabs>
          <w:tab w:val="left" w:pos="567"/>
        </w:tabs>
        <w:suppressAutoHyphens/>
        <w:adjustRightInd/>
        <w:spacing w:after="240"/>
        <w:textAlignment w:val="baseline"/>
        <w:rPr>
          <w:b/>
          <w:color w:val="auto"/>
          <w:sz w:val="22"/>
          <w:szCs w:val="22"/>
        </w:rPr>
      </w:pPr>
      <w:r w:rsidRPr="006B04E3">
        <w:rPr>
          <w:color w:val="auto"/>
          <w:sz w:val="22"/>
          <w:szCs w:val="22"/>
        </w:rPr>
        <w:t>recognise and use their tools and powers to disrupt the activities of serious and organised crime groups and individuals exploiting people</w:t>
      </w:r>
    </w:p>
    <w:p w14:paraId="5E62A49D" w14:textId="5D13833F" w:rsidR="001C61C7" w:rsidRPr="006B04E3" w:rsidRDefault="001C61C7" w:rsidP="006B04E3">
      <w:pPr>
        <w:pStyle w:val="Default"/>
        <w:numPr>
          <w:ilvl w:val="1"/>
          <w:numId w:val="45"/>
        </w:numPr>
        <w:tabs>
          <w:tab w:val="left" w:pos="567"/>
        </w:tabs>
        <w:suppressAutoHyphens/>
        <w:adjustRightInd/>
        <w:spacing w:after="240"/>
        <w:textAlignment w:val="baseline"/>
        <w:rPr>
          <w:b/>
          <w:color w:val="auto"/>
          <w:sz w:val="22"/>
          <w:szCs w:val="22"/>
        </w:rPr>
      </w:pPr>
      <w:r w:rsidRPr="006B04E3">
        <w:rPr>
          <w:color w:val="auto"/>
          <w:sz w:val="22"/>
          <w:szCs w:val="22"/>
        </w:rPr>
        <w:t>successfully work in partnership to end modern slavery in their local area.</w:t>
      </w:r>
    </w:p>
    <w:p w14:paraId="2B9E7F58" w14:textId="2F825AFF" w:rsidR="001C61C7" w:rsidRPr="006B04E3" w:rsidRDefault="001C61C7" w:rsidP="006B04E3">
      <w:pPr>
        <w:pStyle w:val="Default"/>
        <w:numPr>
          <w:ilvl w:val="0"/>
          <w:numId w:val="45"/>
        </w:numPr>
        <w:tabs>
          <w:tab w:val="left" w:pos="567"/>
        </w:tabs>
        <w:suppressAutoHyphens/>
        <w:adjustRightInd/>
        <w:spacing w:after="240"/>
        <w:textAlignment w:val="baseline"/>
        <w:rPr>
          <w:b/>
          <w:color w:val="auto"/>
          <w:sz w:val="22"/>
          <w:szCs w:val="22"/>
        </w:rPr>
      </w:pPr>
      <w:r w:rsidRPr="006B04E3">
        <w:rPr>
          <w:color w:val="auto"/>
          <w:sz w:val="22"/>
          <w:szCs w:val="22"/>
        </w:rPr>
        <w:t>The LGA and Independent Anti-Slavery Commissioner’s office have worked to create an expert reference group to help inform the guide, bringing together expertise from a wide variety or policy areas to reflect the wide-ranging nature of modern slavery. The guide is currently being drafted and should be published in the autumn.</w:t>
      </w:r>
    </w:p>
    <w:p w14:paraId="1A900562" w14:textId="77777777" w:rsidR="0021059B" w:rsidRDefault="0021059B" w:rsidP="006B04E3">
      <w:pPr>
        <w:pStyle w:val="Default"/>
        <w:tabs>
          <w:tab w:val="left" w:pos="567"/>
        </w:tabs>
        <w:spacing w:after="240"/>
        <w:rPr>
          <w:b/>
          <w:color w:val="auto"/>
          <w:sz w:val="22"/>
          <w:szCs w:val="22"/>
        </w:rPr>
      </w:pPr>
    </w:p>
    <w:p w14:paraId="553A3239" w14:textId="6411357C" w:rsidR="001C61C7" w:rsidRPr="006B04E3" w:rsidRDefault="001C61C7" w:rsidP="006B04E3">
      <w:pPr>
        <w:pStyle w:val="Default"/>
        <w:tabs>
          <w:tab w:val="left" w:pos="567"/>
        </w:tabs>
        <w:spacing w:after="240"/>
        <w:rPr>
          <w:b/>
          <w:color w:val="auto"/>
          <w:sz w:val="22"/>
          <w:szCs w:val="22"/>
        </w:rPr>
      </w:pPr>
      <w:r w:rsidRPr="006B04E3">
        <w:rPr>
          <w:b/>
          <w:color w:val="auto"/>
          <w:sz w:val="22"/>
          <w:szCs w:val="22"/>
        </w:rPr>
        <w:lastRenderedPageBreak/>
        <w:t>Public Spaces Protection Orders (PSPOs)</w:t>
      </w:r>
    </w:p>
    <w:p w14:paraId="2FC610D5" w14:textId="2D234B7E" w:rsidR="001C61C7" w:rsidRPr="006B04E3" w:rsidRDefault="001C61C7" w:rsidP="006B04E3">
      <w:pPr>
        <w:pStyle w:val="Default"/>
        <w:numPr>
          <w:ilvl w:val="0"/>
          <w:numId w:val="45"/>
        </w:numPr>
        <w:tabs>
          <w:tab w:val="left" w:pos="567"/>
        </w:tabs>
        <w:suppressAutoHyphens/>
        <w:adjustRightInd/>
        <w:spacing w:after="240"/>
        <w:textAlignment w:val="baseline"/>
        <w:rPr>
          <w:b/>
          <w:color w:val="auto"/>
          <w:sz w:val="22"/>
          <w:szCs w:val="22"/>
        </w:rPr>
      </w:pPr>
      <w:r w:rsidRPr="006B04E3">
        <w:rPr>
          <w:color w:val="auto"/>
          <w:sz w:val="22"/>
          <w:szCs w:val="22"/>
        </w:rPr>
        <w:t xml:space="preserve">PSPOs, introduced in 2014, sit amongst a broad range of powers and tools to help tackle anti-social behaviour locally. We have now published </w:t>
      </w:r>
      <w:hyperlink r:id="rId18" w:history="1">
        <w:r w:rsidRPr="006B04E3">
          <w:rPr>
            <w:rStyle w:val="Hyperlink"/>
            <w:sz w:val="22"/>
            <w:szCs w:val="22"/>
          </w:rPr>
          <w:t>guidance</w:t>
        </w:r>
      </w:hyperlink>
      <w:r w:rsidRPr="006B04E3">
        <w:rPr>
          <w:color w:val="auto"/>
          <w:sz w:val="22"/>
          <w:szCs w:val="22"/>
        </w:rPr>
        <w:t xml:space="preserve"> for councils on using PSPOs, which sets out the issues to consider where local areas are contemplating introducing a PSPO, and offers practical guidance on the steps to take if councils choose to do so.</w:t>
      </w:r>
    </w:p>
    <w:p w14:paraId="3F531360" w14:textId="77777777" w:rsidR="001C61C7" w:rsidRPr="006B04E3" w:rsidRDefault="001C61C7" w:rsidP="006B04E3">
      <w:pPr>
        <w:pStyle w:val="Default"/>
        <w:tabs>
          <w:tab w:val="left" w:pos="567"/>
        </w:tabs>
        <w:spacing w:after="240"/>
        <w:rPr>
          <w:b/>
          <w:color w:val="auto"/>
          <w:sz w:val="22"/>
          <w:szCs w:val="22"/>
        </w:rPr>
      </w:pPr>
      <w:r w:rsidRPr="006B04E3">
        <w:rPr>
          <w:b/>
          <w:color w:val="auto"/>
          <w:sz w:val="22"/>
          <w:szCs w:val="22"/>
        </w:rPr>
        <w:t>Taxi/Private Hire Vehicles (PHVs) licensing – national register and ongoing lobbying</w:t>
      </w:r>
    </w:p>
    <w:p w14:paraId="1616A32C" w14:textId="77777777" w:rsidR="006B04E3" w:rsidRDefault="001C61C7" w:rsidP="006B04E3">
      <w:pPr>
        <w:pStyle w:val="Default"/>
        <w:numPr>
          <w:ilvl w:val="0"/>
          <w:numId w:val="45"/>
        </w:numPr>
        <w:tabs>
          <w:tab w:val="left" w:pos="567"/>
        </w:tabs>
        <w:suppressAutoHyphens/>
        <w:adjustRightInd/>
        <w:spacing w:after="240"/>
        <w:textAlignment w:val="baseline"/>
        <w:rPr>
          <w:b/>
          <w:color w:val="auto"/>
          <w:sz w:val="22"/>
          <w:szCs w:val="22"/>
        </w:rPr>
      </w:pPr>
      <w:r w:rsidRPr="006B04E3">
        <w:rPr>
          <w:color w:val="auto"/>
          <w:sz w:val="22"/>
          <w:szCs w:val="22"/>
        </w:rPr>
        <w:t>There has been significant progress since March in regard to a national register of taxi/PHV drivers who have had licenses revoked or refused, with the LGA having commissioned the National Anti-Fraud Network (NAFN) to begin development of a national register of taxi license refusals and revocations. This will be managed, maintained and hosted by NAFN on behalf of all local authorities. NAFN is a not-for-profit shared service hosted by Tameside Metropolitan Borough Council, which exists to support its members in protecting the public interest.</w:t>
      </w:r>
    </w:p>
    <w:p w14:paraId="520B689E" w14:textId="77777777" w:rsidR="006B04E3" w:rsidRPr="006B04E3" w:rsidRDefault="001C61C7" w:rsidP="006B04E3">
      <w:pPr>
        <w:pStyle w:val="Default"/>
        <w:numPr>
          <w:ilvl w:val="0"/>
          <w:numId w:val="45"/>
        </w:numPr>
        <w:tabs>
          <w:tab w:val="left" w:pos="567"/>
        </w:tabs>
        <w:suppressAutoHyphens/>
        <w:adjustRightInd/>
        <w:spacing w:after="240"/>
        <w:textAlignment w:val="baseline"/>
        <w:rPr>
          <w:b/>
          <w:color w:val="auto"/>
          <w:sz w:val="22"/>
          <w:szCs w:val="22"/>
        </w:rPr>
      </w:pPr>
      <w:r w:rsidRPr="006B04E3">
        <w:rPr>
          <w:color w:val="auto"/>
          <w:sz w:val="22"/>
          <w:szCs w:val="22"/>
        </w:rPr>
        <w:t>The register will be available at no extra cost to all local authorities already signed up to NAFN’s existing data and intelligence services, which is currently 86 per cent of English and Welsh councils. For those councils not already signed up, subscription will cost £1,000 and can be recouped through taxi/PHV license fees, ensuring that access will be cost neutral to authorities. We would welcome Board support in ensuring that all councils make use of the</w:t>
      </w:r>
      <w:r w:rsidR="006B04E3">
        <w:rPr>
          <w:color w:val="auto"/>
          <w:sz w:val="22"/>
          <w:szCs w:val="22"/>
        </w:rPr>
        <w:t xml:space="preserve"> register once it is available.</w:t>
      </w:r>
    </w:p>
    <w:p w14:paraId="14BCAEBC" w14:textId="77777777" w:rsidR="006B04E3" w:rsidRDefault="001C61C7" w:rsidP="006B04E3">
      <w:pPr>
        <w:pStyle w:val="Default"/>
        <w:numPr>
          <w:ilvl w:val="0"/>
          <w:numId w:val="45"/>
        </w:numPr>
        <w:tabs>
          <w:tab w:val="left" w:pos="567"/>
        </w:tabs>
        <w:suppressAutoHyphens/>
        <w:adjustRightInd/>
        <w:spacing w:after="240"/>
        <w:textAlignment w:val="baseline"/>
        <w:rPr>
          <w:b/>
          <w:color w:val="auto"/>
          <w:sz w:val="22"/>
          <w:szCs w:val="22"/>
        </w:rPr>
      </w:pPr>
      <w:r w:rsidRPr="006B04E3">
        <w:rPr>
          <w:color w:val="auto"/>
          <w:sz w:val="22"/>
          <w:szCs w:val="22"/>
        </w:rPr>
        <w:t xml:space="preserve">The register will support councils to tackle the problem of individuals making applications to different licensing authorities following a refusal or revocation elsewhere, and offers a national response to an issue that extends beyond individual regions. </w:t>
      </w:r>
    </w:p>
    <w:p w14:paraId="745894D4" w14:textId="0D9DBAF2" w:rsidR="006B04E3" w:rsidRPr="0021059B" w:rsidRDefault="001C61C7" w:rsidP="006B04E3">
      <w:pPr>
        <w:pStyle w:val="Default"/>
        <w:numPr>
          <w:ilvl w:val="0"/>
          <w:numId w:val="45"/>
        </w:numPr>
        <w:tabs>
          <w:tab w:val="left" w:pos="567"/>
        </w:tabs>
        <w:suppressAutoHyphens/>
        <w:adjustRightInd/>
        <w:spacing w:after="240"/>
        <w:textAlignment w:val="baseline"/>
        <w:rPr>
          <w:b/>
          <w:color w:val="auto"/>
          <w:sz w:val="22"/>
          <w:szCs w:val="22"/>
        </w:rPr>
      </w:pPr>
      <w:r w:rsidRPr="006B04E3">
        <w:rPr>
          <w:color w:val="auto"/>
          <w:sz w:val="22"/>
          <w:szCs w:val="22"/>
        </w:rPr>
        <w:t>The project launched earlier this month and is intended to be complete by the end of 2017; further updates will be shared with the Board as the project develops.</w:t>
      </w:r>
    </w:p>
    <w:p w14:paraId="1A1713CD" w14:textId="77777777" w:rsidR="0008033C" w:rsidRPr="006B04E3" w:rsidRDefault="0008033C" w:rsidP="006B04E3">
      <w:pPr>
        <w:spacing w:after="240"/>
        <w:rPr>
          <w:rFonts w:ascii="Arial" w:hAnsi="Arial" w:cs="Arial"/>
          <w:b/>
          <w:szCs w:val="22"/>
          <w:u w:val="single"/>
        </w:rPr>
      </w:pPr>
      <w:r w:rsidRPr="006B04E3">
        <w:rPr>
          <w:rFonts w:ascii="Arial" w:hAnsi="Arial" w:cs="Arial"/>
          <w:b/>
          <w:szCs w:val="22"/>
          <w:u w:val="single"/>
        </w:rPr>
        <w:t xml:space="preserve">Resources </w:t>
      </w:r>
      <w:r w:rsidR="0088476B" w:rsidRPr="006B04E3">
        <w:rPr>
          <w:rFonts w:ascii="Arial" w:hAnsi="Arial" w:cs="Arial"/>
          <w:b/>
          <w:szCs w:val="22"/>
          <w:u w:val="single"/>
        </w:rPr>
        <w:t>Board</w:t>
      </w:r>
    </w:p>
    <w:p w14:paraId="06CC9F5C" w14:textId="14DD3B46" w:rsidR="00317FD9" w:rsidRPr="006B04E3" w:rsidRDefault="00317FD9" w:rsidP="006B04E3">
      <w:pPr>
        <w:spacing w:after="240"/>
        <w:rPr>
          <w:rFonts w:ascii="Arial" w:hAnsi="Arial" w:cs="Arial"/>
          <w:szCs w:val="22"/>
          <w:u w:val="single"/>
        </w:rPr>
      </w:pPr>
      <w:r w:rsidRPr="006B04E3">
        <w:rPr>
          <w:rFonts w:ascii="Arial" w:hAnsi="Arial" w:cs="Arial"/>
          <w:szCs w:val="22"/>
          <w:u w:val="single"/>
        </w:rPr>
        <w:t>Finance</w:t>
      </w:r>
    </w:p>
    <w:p w14:paraId="7457C074" w14:textId="6D0F0766" w:rsidR="008F34AF" w:rsidRPr="006B04E3" w:rsidRDefault="008F34AF" w:rsidP="006B04E3">
      <w:pPr>
        <w:spacing w:after="240"/>
        <w:rPr>
          <w:rFonts w:ascii="Arial" w:hAnsi="Arial" w:cs="Arial"/>
          <w:b/>
          <w:bCs/>
          <w:szCs w:val="22"/>
        </w:rPr>
      </w:pPr>
      <w:r w:rsidRPr="006B04E3">
        <w:rPr>
          <w:rFonts w:ascii="Arial" w:hAnsi="Arial" w:cs="Arial"/>
          <w:b/>
          <w:bCs/>
          <w:szCs w:val="22"/>
        </w:rPr>
        <w:t>Business Rates Retention</w:t>
      </w:r>
    </w:p>
    <w:p w14:paraId="2138185E" w14:textId="65466A85" w:rsidR="008F34AF" w:rsidRPr="006B04E3" w:rsidRDefault="008F34AF" w:rsidP="006B04E3">
      <w:pPr>
        <w:pStyle w:val="ListParagraph"/>
        <w:numPr>
          <w:ilvl w:val="0"/>
          <w:numId w:val="45"/>
        </w:numPr>
        <w:spacing w:after="240"/>
        <w:rPr>
          <w:rFonts w:ascii="Arial" w:hAnsi="Arial" w:cs="Arial"/>
          <w:szCs w:val="22"/>
        </w:rPr>
      </w:pPr>
      <w:r w:rsidRPr="006B04E3">
        <w:rPr>
          <w:rFonts w:ascii="Arial" w:hAnsi="Arial" w:cs="Arial"/>
          <w:szCs w:val="22"/>
        </w:rPr>
        <w:t>Before the general election was announced</w:t>
      </w:r>
      <w:r w:rsidRPr="006B04E3">
        <w:rPr>
          <w:rFonts w:ascii="Arial" w:hAnsi="Arial" w:cs="Arial"/>
          <w:color w:val="1F497D"/>
          <w:szCs w:val="22"/>
        </w:rPr>
        <w:t xml:space="preserve">, </w:t>
      </w:r>
      <w:r w:rsidRPr="006B04E3">
        <w:rPr>
          <w:rFonts w:ascii="Arial" w:hAnsi="Arial" w:cs="Arial"/>
          <w:szCs w:val="22"/>
        </w:rPr>
        <w:t xml:space="preserve">in late March and early April, we held six regional events jointly with DCLG on the further business rates retention </w:t>
      </w:r>
      <w:hyperlink r:id="rId19" w:history="1">
        <w:r w:rsidRPr="006B04E3">
          <w:rPr>
            <w:rStyle w:val="Hyperlink"/>
            <w:rFonts w:ascii="Arial" w:hAnsi="Arial" w:cs="Arial"/>
            <w:szCs w:val="22"/>
          </w:rPr>
          <w:t>consultation</w:t>
        </w:r>
      </w:hyperlink>
      <w:r w:rsidRPr="006B04E3">
        <w:rPr>
          <w:rFonts w:ascii="Arial" w:hAnsi="Arial" w:cs="Arial"/>
          <w:color w:val="1F497D"/>
          <w:szCs w:val="22"/>
        </w:rPr>
        <w:t xml:space="preserve"> </w:t>
      </w:r>
      <w:r w:rsidRPr="006B04E3">
        <w:rPr>
          <w:rFonts w:ascii="Arial" w:hAnsi="Arial" w:cs="Arial"/>
          <w:szCs w:val="22"/>
        </w:rPr>
        <w:t xml:space="preserve">and Fair Funding Review. In total, around 270 councillors and officers attended the sessions, and presentations from the events are available on our </w:t>
      </w:r>
      <w:hyperlink r:id="rId20" w:history="1">
        <w:r w:rsidRPr="006B04E3">
          <w:rPr>
            <w:rStyle w:val="Hyperlink"/>
            <w:rFonts w:ascii="Arial" w:hAnsi="Arial" w:cs="Arial"/>
            <w:szCs w:val="22"/>
          </w:rPr>
          <w:t>website</w:t>
        </w:r>
      </w:hyperlink>
      <w:r w:rsidRPr="006B04E3">
        <w:rPr>
          <w:rFonts w:ascii="Arial" w:hAnsi="Arial" w:cs="Arial"/>
          <w:szCs w:val="22"/>
        </w:rPr>
        <w:t xml:space="preserve">. Although the Government paused work on further business rates retention in the run-up to the general election, DCLG remained keen to receive responses to the second stage consultation, which closed in May. Our LGA </w:t>
      </w:r>
      <w:hyperlink r:id="rId21" w:history="1">
        <w:r w:rsidRPr="006B04E3">
          <w:rPr>
            <w:rStyle w:val="Hyperlink"/>
            <w:rFonts w:ascii="Arial" w:hAnsi="Arial" w:cs="Arial"/>
            <w:szCs w:val="22"/>
          </w:rPr>
          <w:t>response</w:t>
        </w:r>
      </w:hyperlink>
      <w:r w:rsidRPr="006B04E3">
        <w:rPr>
          <w:rFonts w:ascii="Arial" w:hAnsi="Arial" w:cs="Arial"/>
          <w:szCs w:val="22"/>
        </w:rPr>
        <w:t xml:space="preserve"> emphasised the importance of flexibility in the design of the scheme and highlighted the need for the Government to publish modelling of differing scenarios.</w:t>
      </w:r>
    </w:p>
    <w:p w14:paraId="63CDAEFB" w14:textId="77777777" w:rsidR="0021059B" w:rsidRDefault="0021059B" w:rsidP="006B04E3">
      <w:pPr>
        <w:spacing w:after="240"/>
        <w:rPr>
          <w:rFonts w:ascii="Arial" w:hAnsi="Arial" w:cs="Arial"/>
          <w:color w:val="000000"/>
          <w:szCs w:val="22"/>
          <w:u w:val="single"/>
          <w:lang w:val="en"/>
        </w:rPr>
      </w:pPr>
    </w:p>
    <w:p w14:paraId="3E403161" w14:textId="77777777" w:rsidR="007A03E6" w:rsidRPr="006B04E3" w:rsidRDefault="007A03E6" w:rsidP="006B04E3">
      <w:pPr>
        <w:spacing w:after="240"/>
        <w:rPr>
          <w:rFonts w:ascii="Arial" w:hAnsi="Arial" w:cs="Arial"/>
          <w:color w:val="000000"/>
          <w:szCs w:val="22"/>
          <w:u w:val="single"/>
          <w:lang w:val="en"/>
        </w:rPr>
      </w:pPr>
      <w:r w:rsidRPr="006B04E3">
        <w:rPr>
          <w:rFonts w:ascii="Arial" w:hAnsi="Arial" w:cs="Arial"/>
          <w:color w:val="000000"/>
          <w:szCs w:val="22"/>
          <w:u w:val="single"/>
          <w:lang w:val="en"/>
        </w:rPr>
        <w:lastRenderedPageBreak/>
        <w:t>Workforce</w:t>
      </w:r>
    </w:p>
    <w:p w14:paraId="473AEB6E" w14:textId="77593303" w:rsidR="006B04E3" w:rsidRDefault="00CF6728" w:rsidP="006B04E3">
      <w:pPr>
        <w:spacing w:line="233" w:lineRule="atLeast"/>
        <w:rPr>
          <w:rFonts w:ascii="Arial" w:hAnsi="Arial" w:cs="Arial"/>
          <w:color w:val="000000"/>
          <w:szCs w:val="22"/>
        </w:rPr>
      </w:pPr>
      <w:r w:rsidRPr="006B04E3">
        <w:rPr>
          <w:rFonts w:ascii="Arial" w:hAnsi="Arial" w:cs="Arial"/>
          <w:b/>
          <w:bCs/>
          <w:color w:val="000000"/>
          <w:szCs w:val="22"/>
        </w:rPr>
        <w:t>Social Work</w:t>
      </w:r>
      <w:r w:rsidRPr="006B04E3">
        <w:rPr>
          <w:rFonts w:ascii="Arial" w:hAnsi="Arial" w:cs="Arial"/>
          <w:b/>
          <w:bCs/>
          <w:color w:val="000000"/>
          <w:szCs w:val="22"/>
        </w:rPr>
        <w:br/>
      </w:r>
    </w:p>
    <w:p w14:paraId="149576FF" w14:textId="77593303" w:rsidR="00CF6728" w:rsidRPr="006B04E3" w:rsidRDefault="00CF6728" w:rsidP="006B04E3">
      <w:pPr>
        <w:pStyle w:val="ListParagraph"/>
        <w:numPr>
          <w:ilvl w:val="0"/>
          <w:numId w:val="45"/>
        </w:numPr>
        <w:spacing w:after="240" w:line="233" w:lineRule="atLeast"/>
        <w:rPr>
          <w:rFonts w:ascii="Arial" w:hAnsi="Arial" w:cs="Arial"/>
          <w:szCs w:val="22"/>
        </w:rPr>
      </w:pPr>
      <w:r w:rsidRPr="006B04E3">
        <w:rPr>
          <w:rFonts w:ascii="Arial" w:hAnsi="Arial" w:cs="Arial"/>
          <w:color w:val="000000"/>
          <w:szCs w:val="22"/>
        </w:rPr>
        <w:t>The Come Back to Social Work programme has now been completed, and candidates are currently being matched with councils across England. All the candidates had taken a career break and were finding it difficult to access the right training and support to come back to work. The campaign has been shortlisted for a national HR award. The workforce team is working with Wiltshire Council to develop a training programme for managers who will be managing people returning to work in social care. This research should be available later this year. The recent focus on helping women back into work following a career break has been given a boost with the Budget announcement that £5m will go towards extending return to work schemes to all levels of management. </w:t>
      </w:r>
    </w:p>
    <w:p w14:paraId="45CDC380" w14:textId="77777777" w:rsidR="006B04E3" w:rsidRDefault="00CF6728" w:rsidP="006B04E3">
      <w:pPr>
        <w:spacing w:line="233" w:lineRule="atLeast"/>
        <w:rPr>
          <w:rFonts w:ascii="Arial" w:hAnsi="Arial" w:cs="Arial"/>
          <w:color w:val="000000"/>
          <w:szCs w:val="22"/>
        </w:rPr>
      </w:pPr>
      <w:r w:rsidRPr="006B04E3">
        <w:rPr>
          <w:rFonts w:ascii="Arial" w:hAnsi="Arial" w:cs="Arial"/>
          <w:b/>
          <w:bCs/>
          <w:color w:val="000000"/>
          <w:szCs w:val="22"/>
        </w:rPr>
        <w:t>Flexible working</w:t>
      </w:r>
      <w:r w:rsidRPr="006B04E3">
        <w:rPr>
          <w:rFonts w:ascii="Arial" w:hAnsi="Arial" w:cs="Arial"/>
          <w:b/>
          <w:bCs/>
          <w:color w:val="000000"/>
          <w:szCs w:val="22"/>
        </w:rPr>
        <w:br/>
      </w:r>
    </w:p>
    <w:p w14:paraId="4502CA10" w14:textId="01D1D886" w:rsidR="00CF6728" w:rsidRPr="006B04E3" w:rsidRDefault="00CF6728" w:rsidP="006B04E3">
      <w:pPr>
        <w:pStyle w:val="ListParagraph"/>
        <w:numPr>
          <w:ilvl w:val="0"/>
          <w:numId w:val="45"/>
        </w:numPr>
        <w:spacing w:after="240" w:line="233" w:lineRule="atLeast"/>
        <w:rPr>
          <w:rFonts w:ascii="Arial" w:hAnsi="Arial" w:cs="Arial"/>
          <w:szCs w:val="22"/>
        </w:rPr>
      </w:pPr>
      <w:r w:rsidRPr="006B04E3">
        <w:rPr>
          <w:rFonts w:ascii="Arial" w:hAnsi="Arial" w:cs="Arial"/>
          <w:color w:val="000000"/>
          <w:szCs w:val="22"/>
        </w:rPr>
        <w:t>The workforce team has been working with the councils in Nottinghamshire to become a Flexible Hiring region. This has been through the LGA Timewise Council offer, which has now extended to over 25 councils in England. The Nottinghamshire councils are coming together to adapt the way they recruit, attract talent into the area and drive inclusive growth in the process. They have met with the Local Enterprise Partnership to agree on a formal launch for the end of the year.</w:t>
      </w:r>
    </w:p>
    <w:p w14:paraId="252C4585" w14:textId="77777777" w:rsidR="006B04E3" w:rsidRDefault="00CF6728" w:rsidP="006B04E3">
      <w:pPr>
        <w:spacing w:line="233" w:lineRule="atLeast"/>
        <w:rPr>
          <w:rFonts w:ascii="Arial" w:hAnsi="Arial" w:cs="Arial"/>
          <w:b/>
          <w:bCs/>
          <w:color w:val="000000"/>
          <w:szCs w:val="22"/>
        </w:rPr>
      </w:pPr>
      <w:r w:rsidRPr="006B04E3">
        <w:rPr>
          <w:rFonts w:ascii="Arial" w:hAnsi="Arial" w:cs="Arial"/>
          <w:b/>
          <w:bCs/>
          <w:color w:val="000000"/>
          <w:szCs w:val="22"/>
        </w:rPr>
        <w:t>Performance Management</w:t>
      </w:r>
    </w:p>
    <w:p w14:paraId="1C108D5C" w14:textId="77777777" w:rsidR="00360989" w:rsidRDefault="00360989" w:rsidP="006B04E3">
      <w:pPr>
        <w:spacing w:line="233" w:lineRule="atLeast"/>
        <w:rPr>
          <w:rFonts w:ascii="Arial" w:hAnsi="Arial" w:cs="Arial"/>
          <w:b/>
          <w:bCs/>
          <w:color w:val="000000"/>
          <w:szCs w:val="22"/>
        </w:rPr>
      </w:pPr>
    </w:p>
    <w:p w14:paraId="170E8ED9" w14:textId="00340F3D" w:rsidR="00CF6728" w:rsidRPr="006B04E3" w:rsidRDefault="00CF6728" w:rsidP="006B04E3">
      <w:pPr>
        <w:pStyle w:val="ListParagraph"/>
        <w:numPr>
          <w:ilvl w:val="0"/>
          <w:numId w:val="45"/>
        </w:numPr>
        <w:spacing w:after="240" w:line="233" w:lineRule="atLeast"/>
        <w:rPr>
          <w:rFonts w:ascii="Arial" w:hAnsi="Arial" w:cs="Arial"/>
          <w:szCs w:val="22"/>
        </w:rPr>
      </w:pPr>
      <w:r w:rsidRPr="006B04E3">
        <w:rPr>
          <w:rFonts w:ascii="Arial" w:hAnsi="Arial" w:cs="Arial"/>
          <w:color w:val="000000"/>
          <w:szCs w:val="22"/>
        </w:rPr>
        <w:t>Thirty councils attended an LGA workforce event in March sharing good practice on performance management and exploring ways to embed effective performance management tools and cultures to drive up productivity.</w:t>
      </w:r>
    </w:p>
    <w:p w14:paraId="14B9CE08" w14:textId="77777777" w:rsidR="00360989" w:rsidRDefault="00CF6728" w:rsidP="006B04E3">
      <w:pPr>
        <w:spacing w:after="240"/>
        <w:rPr>
          <w:rFonts w:ascii="Arial" w:hAnsi="Arial" w:cs="Arial"/>
          <w:b/>
          <w:bCs/>
          <w:color w:val="000000"/>
          <w:szCs w:val="22"/>
        </w:rPr>
      </w:pPr>
      <w:r w:rsidRPr="006B04E3">
        <w:rPr>
          <w:rFonts w:ascii="Arial" w:hAnsi="Arial" w:cs="Arial"/>
          <w:b/>
          <w:bCs/>
          <w:color w:val="000000"/>
          <w:szCs w:val="22"/>
        </w:rPr>
        <w:t>Events</w:t>
      </w:r>
    </w:p>
    <w:p w14:paraId="3191E6E5" w14:textId="6D5034D9" w:rsidR="0000792D" w:rsidRPr="0021059B" w:rsidRDefault="00CF6728" w:rsidP="0000792D">
      <w:pPr>
        <w:pStyle w:val="ListParagraph"/>
        <w:numPr>
          <w:ilvl w:val="0"/>
          <w:numId w:val="45"/>
        </w:numPr>
        <w:spacing w:after="240"/>
        <w:rPr>
          <w:rFonts w:ascii="Arial" w:hAnsi="Arial" w:cs="Arial"/>
          <w:szCs w:val="22"/>
        </w:rPr>
      </w:pPr>
      <w:r w:rsidRPr="00360989">
        <w:rPr>
          <w:rFonts w:ascii="Arial" w:hAnsi="Arial" w:cs="Arial"/>
          <w:color w:val="000000"/>
          <w:szCs w:val="22"/>
        </w:rPr>
        <w:t>The workforce team held its popular annual employment law event in February. The event was attended by over 80 delegates. The overall feedback from delegates was excellent. The two education HR conferences were once again held in London and York in June. In total, more than 110 delegates attended, and initial feedback has been positive.</w:t>
      </w:r>
    </w:p>
    <w:p w14:paraId="0C9338F9" w14:textId="77777777" w:rsidR="00CF6728" w:rsidRPr="006B04E3" w:rsidRDefault="00CF6728" w:rsidP="006B04E3">
      <w:pPr>
        <w:spacing w:after="240"/>
        <w:rPr>
          <w:rFonts w:ascii="Arial" w:hAnsi="Arial" w:cs="Arial"/>
          <w:b/>
          <w:bCs/>
          <w:szCs w:val="22"/>
          <w:lang w:eastAsia="en-US"/>
        </w:rPr>
      </w:pPr>
      <w:r w:rsidRPr="006B04E3">
        <w:rPr>
          <w:rFonts w:ascii="Arial" w:hAnsi="Arial" w:cs="Arial"/>
          <w:b/>
          <w:bCs/>
          <w:szCs w:val="22"/>
        </w:rPr>
        <w:t>Career development and role profiles</w:t>
      </w:r>
    </w:p>
    <w:p w14:paraId="06FD4F80" w14:textId="6058FC00" w:rsidR="00CF6728" w:rsidRDefault="00CF6728" w:rsidP="00360989">
      <w:pPr>
        <w:pStyle w:val="ListParagraph"/>
        <w:numPr>
          <w:ilvl w:val="0"/>
          <w:numId w:val="45"/>
        </w:numPr>
        <w:spacing w:after="240"/>
        <w:rPr>
          <w:rFonts w:ascii="Arial" w:hAnsi="Arial" w:cs="Arial"/>
          <w:szCs w:val="22"/>
        </w:rPr>
      </w:pPr>
      <w:r w:rsidRPr="00360989">
        <w:rPr>
          <w:rFonts w:ascii="Arial" w:hAnsi="Arial" w:cs="Arial"/>
          <w:szCs w:val="22"/>
        </w:rPr>
        <w:t>The workforce team has recently completed the development of a set of benchmark role profiles for care commissioning roles with the trade unions. The profiles include indicative job evaluation scores and are designed to help councils assess their local role profiles and ensure that they offer good career structures to aid recruitment and retention.</w:t>
      </w:r>
    </w:p>
    <w:p w14:paraId="39085255" w14:textId="5F92F205" w:rsidR="0021059B" w:rsidRDefault="0021059B" w:rsidP="0021059B">
      <w:pPr>
        <w:spacing w:after="240"/>
      </w:pPr>
    </w:p>
    <w:p w14:paraId="2A216E58" w14:textId="77777777" w:rsidR="0021059B" w:rsidRPr="0021059B" w:rsidRDefault="0021059B" w:rsidP="0021059B">
      <w:pPr>
        <w:spacing w:after="240"/>
        <w:rPr>
          <w:rFonts w:ascii="Arial" w:hAnsi="Arial" w:cs="Arial"/>
          <w:szCs w:val="22"/>
        </w:rPr>
      </w:pPr>
      <w:bookmarkStart w:id="3" w:name="_GoBack"/>
      <w:bookmarkEnd w:id="3"/>
    </w:p>
    <w:p w14:paraId="204984AE" w14:textId="77777777" w:rsidR="00CF6728" w:rsidRPr="006B04E3" w:rsidRDefault="00CF6728" w:rsidP="006B04E3">
      <w:pPr>
        <w:spacing w:after="240"/>
        <w:rPr>
          <w:rFonts w:ascii="Arial" w:hAnsi="Arial" w:cs="Arial"/>
          <w:b/>
          <w:bCs/>
          <w:szCs w:val="22"/>
        </w:rPr>
      </w:pPr>
      <w:r w:rsidRPr="006B04E3">
        <w:rPr>
          <w:rFonts w:ascii="Arial" w:hAnsi="Arial" w:cs="Arial"/>
          <w:b/>
          <w:bCs/>
          <w:szCs w:val="22"/>
        </w:rPr>
        <w:t>Health and Care integration</w:t>
      </w:r>
    </w:p>
    <w:p w14:paraId="3F73BD9C" w14:textId="37DFE243" w:rsidR="00CF6728" w:rsidRPr="00360989" w:rsidRDefault="00CF6728" w:rsidP="00360989">
      <w:pPr>
        <w:pStyle w:val="ListParagraph"/>
        <w:numPr>
          <w:ilvl w:val="0"/>
          <w:numId w:val="45"/>
        </w:numPr>
        <w:spacing w:after="240"/>
        <w:rPr>
          <w:rFonts w:ascii="Arial" w:hAnsi="Arial" w:cs="Arial"/>
          <w:szCs w:val="22"/>
        </w:rPr>
      </w:pPr>
      <w:r w:rsidRPr="00360989">
        <w:rPr>
          <w:rFonts w:ascii="Arial" w:hAnsi="Arial" w:cs="Arial"/>
          <w:szCs w:val="22"/>
        </w:rPr>
        <w:lastRenderedPageBreak/>
        <w:t>The workforce team has recently completed a project with the Department of Health, Skills for Care and others to provide a summary and analysis of the workforce challenges and solutions in a variety of models of integration. Publication was delayed by the General Election.</w:t>
      </w:r>
    </w:p>
    <w:p w14:paraId="2137A8B3" w14:textId="77777777" w:rsidR="00CF6728" w:rsidRPr="006B04E3" w:rsidRDefault="00CF6728" w:rsidP="006B04E3">
      <w:pPr>
        <w:spacing w:after="240"/>
        <w:rPr>
          <w:rFonts w:ascii="Arial" w:hAnsi="Arial" w:cs="Arial"/>
          <w:color w:val="000000"/>
          <w:szCs w:val="22"/>
          <w:u w:val="single"/>
          <w:lang w:val="en"/>
        </w:rPr>
      </w:pPr>
    </w:p>
    <w:p w14:paraId="7499A168" w14:textId="6F4C4EB3" w:rsidR="004B0C85" w:rsidRPr="006B04E3" w:rsidRDefault="00ED1A8D" w:rsidP="006B04E3">
      <w:pPr>
        <w:spacing w:after="240" w:line="259" w:lineRule="auto"/>
        <w:rPr>
          <w:rFonts w:ascii="Arial" w:hAnsi="Arial" w:cs="Arial"/>
          <w:szCs w:val="22"/>
        </w:rPr>
      </w:pPr>
      <w:r w:rsidRPr="006B04E3">
        <w:rPr>
          <w:rFonts w:ascii="Arial" w:hAnsi="Arial" w:cs="Arial"/>
          <w:b/>
          <w:szCs w:val="22"/>
        </w:rPr>
        <w:br/>
      </w:r>
    </w:p>
    <w:p w14:paraId="5C323DD2" w14:textId="77777777" w:rsidR="005752EB" w:rsidRPr="006B04E3" w:rsidRDefault="005752EB" w:rsidP="006B04E3">
      <w:pPr>
        <w:spacing w:after="240"/>
        <w:rPr>
          <w:rFonts w:ascii="Arial" w:hAnsi="Arial" w:cs="Arial"/>
          <w:b/>
          <w:szCs w:val="22"/>
        </w:rPr>
      </w:pPr>
    </w:p>
    <w:p w14:paraId="54E3D217" w14:textId="77777777" w:rsidR="00AA6C5F" w:rsidRPr="00CF6728" w:rsidRDefault="00AA6C5F" w:rsidP="007A03E6">
      <w:pPr>
        <w:rPr>
          <w:rFonts w:ascii="Arial" w:hAnsi="Arial" w:cs="Arial"/>
          <w:b/>
        </w:rPr>
      </w:pPr>
    </w:p>
    <w:sectPr w:rsidR="00AA6C5F" w:rsidRPr="00CF6728" w:rsidSect="00EB0DE5">
      <w:headerReference w:type="default" r:id="rId22"/>
      <w:footerReference w:type="default" r:id="rId23"/>
      <w:headerReference w:type="first" r:id="rId24"/>
      <w:pgSz w:w="11907" w:h="16840" w:code="9"/>
      <w:pgMar w:top="1418" w:right="1418"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CF36E" w14:textId="77777777" w:rsidR="00360989" w:rsidRDefault="00360989">
      <w:r>
        <w:separator/>
      </w:r>
    </w:p>
  </w:endnote>
  <w:endnote w:type="continuationSeparator" w:id="0">
    <w:p w14:paraId="0AECF36F" w14:textId="77777777" w:rsidR="00360989" w:rsidRDefault="0036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Calibri"/>
    <w:charset w:val="00"/>
    <w:family w:val="swiss"/>
    <w:pitch w:val="variable"/>
    <w:sig w:usb0="8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CF37A" w14:textId="77777777" w:rsidR="00360989" w:rsidRDefault="00360989">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2C01F" w14:textId="77777777" w:rsidR="00360989" w:rsidRDefault="00360989">
    <w:pPr>
      <w:pStyle w:val="Footer"/>
      <w:tabs>
        <w:tab w:val="clear" w:pos="4153"/>
        <w:tab w:val="clear" w:pos="8306"/>
        <w:tab w:val="right" w:pos="9923"/>
      </w:tabs>
      <w:ind w:right="-994"/>
      <w:rPr>
        <w:sz w:val="12"/>
      </w:rPr>
    </w:pPr>
    <w:r>
      <w:rPr>
        <w:rFonts w:ascii="Frutiger 55 Roman" w:hAnsi="Frutiger 55 Roman"/>
        <w:b/>
        <w:sz w:val="16"/>
      </w:rPr>
      <w:t xml:space="preserve">   </w:t>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CF36C" w14:textId="77777777" w:rsidR="00360989" w:rsidRDefault="00360989">
      <w:r>
        <w:separator/>
      </w:r>
    </w:p>
  </w:footnote>
  <w:footnote w:type="continuationSeparator" w:id="0">
    <w:p w14:paraId="0AECF36D" w14:textId="77777777" w:rsidR="00360989" w:rsidRDefault="00360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C1F82" w14:textId="77777777" w:rsidR="00360989" w:rsidRDefault="00360989"/>
  <w:tbl>
    <w:tblPr>
      <w:tblW w:w="0" w:type="auto"/>
      <w:tblLook w:val="01E0" w:firstRow="1" w:lastRow="1" w:firstColumn="1" w:lastColumn="1" w:noHBand="0" w:noVBand="0"/>
    </w:tblPr>
    <w:tblGrid>
      <w:gridCol w:w="6237"/>
      <w:gridCol w:w="2834"/>
    </w:tblGrid>
    <w:tr w:rsidR="00360989" w:rsidRPr="004F266E" w14:paraId="0AECF372" w14:textId="77777777" w:rsidTr="003E41E5">
      <w:tc>
        <w:tcPr>
          <w:tcW w:w="6237" w:type="dxa"/>
          <w:vMerge w:val="restart"/>
          <w:shd w:val="clear" w:color="auto" w:fill="auto"/>
        </w:tcPr>
        <w:p w14:paraId="0AECF370" w14:textId="77777777" w:rsidR="00360989" w:rsidRPr="00374227" w:rsidRDefault="00360989" w:rsidP="00EB0DE5">
          <w:pPr>
            <w:pStyle w:val="Header"/>
            <w:tabs>
              <w:tab w:val="clear" w:pos="4153"/>
              <w:tab w:val="clear" w:pos="8306"/>
              <w:tab w:val="center" w:pos="2923"/>
            </w:tabs>
          </w:pPr>
          <w:r>
            <w:rPr>
              <w:rFonts w:ascii="Arial" w:hAnsi="Arial" w:cs="Arial"/>
              <w:noProof/>
              <w:sz w:val="44"/>
              <w:szCs w:val="44"/>
              <w:lang w:eastAsia="ja-JP"/>
            </w:rPr>
            <w:drawing>
              <wp:inline distT="0" distB="0" distL="0" distR="0" wp14:anchorId="0AECF388" wp14:editId="0AECF389">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2834" w:type="dxa"/>
          <w:shd w:val="clear" w:color="auto" w:fill="auto"/>
          <w:vAlign w:val="center"/>
        </w:tcPr>
        <w:p w14:paraId="0AECF371" w14:textId="5999CE4D" w:rsidR="00360989" w:rsidRPr="00EB0DE5" w:rsidRDefault="00360989" w:rsidP="00EB0DE5">
          <w:pPr>
            <w:pStyle w:val="Header"/>
            <w:rPr>
              <w:rFonts w:ascii="Arial" w:hAnsi="Arial" w:cs="Arial"/>
              <w:b/>
              <w:szCs w:val="22"/>
            </w:rPr>
          </w:pPr>
          <w:r>
            <w:rPr>
              <w:rFonts w:ascii="Arial" w:hAnsi="Arial" w:cs="Arial"/>
              <w:b/>
              <w:szCs w:val="22"/>
            </w:rPr>
            <w:t>Improvement &amp;</w:t>
          </w:r>
          <w:r w:rsidRPr="00EB0DE5">
            <w:rPr>
              <w:rFonts w:ascii="Arial" w:hAnsi="Arial" w:cs="Arial"/>
              <w:b/>
              <w:szCs w:val="22"/>
            </w:rPr>
            <w:t xml:space="preserve"> Innovation Board</w:t>
          </w:r>
        </w:p>
      </w:tc>
    </w:tr>
    <w:tr w:rsidR="00360989" w14:paraId="0AECF375" w14:textId="77777777" w:rsidTr="003E41E5">
      <w:trPr>
        <w:trHeight w:val="450"/>
      </w:trPr>
      <w:tc>
        <w:tcPr>
          <w:tcW w:w="6237" w:type="dxa"/>
          <w:vMerge/>
          <w:shd w:val="clear" w:color="auto" w:fill="auto"/>
        </w:tcPr>
        <w:p w14:paraId="0AECF373" w14:textId="77777777" w:rsidR="00360989" w:rsidRPr="00374227" w:rsidRDefault="00360989" w:rsidP="00EB0DE5">
          <w:pPr>
            <w:pStyle w:val="Header"/>
          </w:pPr>
        </w:p>
      </w:tc>
      <w:tc>
        <w:tcPr>
          <w:tcW w:w="2834" w:type="dxa"/>
          <w:shd w:val="clear" w:color="auto" w:fill="auto"/>
          <w:vAlign w:val="center"/>
        </w:tcPr>
        <w:p w14:paraId="0AECF374" w14:textId="1DB82CB7" w:rsidR="00360989" w:rsidRPr="00EB0DE5" w:rsidRDefault="00360989" w:rsidP="00D079D9">
          <w:pPr>
            <w:pStyle w:val="Header"/>
            <w:spacing w:before="60"/>
            <w:rPr>
              <w:rFonts w:ascii="Arial" w:hAnsi="Arial" w:cs="Arial"/>
              <w:szCs w:val="22"/>
            </w:rPr>
          </w:pPr>
          <w:r>
            <w:rPr>
              <w:rFonts w:ascii="Arial" w:hAnsi="Arial" w:cs="Arial"/>
              <w:szCs w:val="22"/>
            </w:rPr>
            <w:t>11 July 2</w:t>
          </w:r>
          <w:r w:rsidRPr="00EB0DE5">
            <w:rPr>
              <w:rFonts w:ascii="Arial" w:hAnsi="Arial" w:cs="Arial"/>
              <w:szCs w:val="22"/>
            </w:rPr>
            <w:t>01</w:t>
          </w:r>
          <w:r>
            <w:rPr>
              <w:rFonts w:ascii="Arial" w:hAnsi="Arial" w:cs="Arial"/>
              <w:szCs w:val="22"/>
            </w:rPr>
            <w:t>7</w:t>
          </w:r>
        </w:p>
      </w:tc>
    </w:tr>
  </w:tbl>
  <w:p w14:paraId="0AECF379" w14:textId="77777777" w:rsidR="00360989" w:rsidRPr="0021114E" w:rsidRDefault="00360989">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CF37B" w14:textId="77777777" w:rsidR="00360989" w:rsidRDefault="00360989" w:rsidP="00EB0DE5">
    <w:pPr>
      <w:pStyle w:val="Header"/>
      <w:rPr>
        <w:sz w:val="2"/>
      </w:rPr>
    </w:pPr>
  </w:p>
  <w:p w14:paraId="0AECF37C" w14:textId="77777777" w:rsidR="00360989" w:rsidRDefault="00360989" w:rsidP="00EB0DE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360989" w:rsidRPr="001D2C76" w14:paraId="0AECF37F" w14:textId="77777777" w:rsidTr="00EB0DE5">
      <w:tc>
        <w:tcPr>
          <w:tcW w:w="6062" w:type="dxa"/>
          <w:vMerge w:val="restart"/>
        </w:tcPr>
        <w:p w14:paraId="0AECF37D" w14:textId="77777777" w:rsidR="00360989" w:rsidRDefault="00360989" w:rsidP="00EB0DE5">
          <w:pPr>
            <w:pStyle w:val="Header"/>
            <w:tabs>
              <w:tab w:val="clear" w:pos="4153"/>
              <w:tab w:val="clear" w:pos="8306"/>
              <w:tab w:val="center" w:pos="2923"/>
            </w:tabs>
          </w:pPr>
          <w:r>
            <w:rPr>
              <w:rFonts w:ascii="Arial" w:hAnsi="Arial" w:cs="Arial"/>
              <w:noProof/>
              <w:sz w:val="44"/>
              <w:szCs w:val="44"/>
              <w:lang w:eastAsia="ja-JP"/>
            </w:rPr>
            <w:drawing>
              <wp:inline distT="0" distB="0" distL="0" distR="0" wp14:anchorId="0AECF38A" wp14:editId="0AECF38B">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0AECF37E" w14:textId="77777777" w:rsidR="00360989" w:rsidRPr="001D2C76" w:rsidRDefault="00360989" w:rsidP="00EB0DE5">
          <w:pPr>
            <w:pStyle w:val="Header"/>
            <w:rPr>
              <w:b/>
            </w:rPr>
          </w:pPr>
          <w:r>
            <w:rPr>
              <w:rFonts w:ascii="Arial" w:hAnsi="Arial" w:cs="Arial"/>
              <w:b/>
              <w:sz w:val="24"/>
              <w:szCs w:val="24"/>
            </w:rPr>
            <w:t>Meeting title</w:t>
          </w:r>
        </w:p>
      </w:tc>
    </w:tr>
    <w:tr w:rsidR="00360989" w14:paraId="0AECF382" w14:textId="77777777" w:rsidTr="00EB0DE5">
      <w:trPr>
        <w:trHeight w:val="450"/>
      </w:trPr>
      <w:tc>
        <w:tcPr>
          <w:tcW w:w="6062" w:type="dxa"/>
          <w:vMerge/>
        </w:tcPr>
        <w:p w14:paraId="0AECF380" w14:textId="77777777" w:rsidR="00360989" w:rsidRDefault="00360989" w:rsidP="00EB0DE5">
          <w:pPr>
            <w:pStyle w:val="Header"/>
          </w:pPr>
        </w:p>
      </w:tc>
      <w:tc>
        <w:tcPr>
          <w:tcW w:w="3225" w:type="dxa"/>
        </w:tcPr>
        <w:p w14:paraId="0AECF381" w14:textId="77777777" w:rsidR="00360989" w:rsidRDefault="00360989" w:rsidP="00EB0DE5">
          <w:pPr>
            <w:pStyle w:val="Header"/>
            <w:spacing w:before="60"/>
          </w:pPr>
          <w:r>
            <w:rPr>
              <w:rFonts w:ascii="Arial" w:hAnsi="Arial" w:cs="Arial"/>
              <w:sz w:val="24"/>
              <w:szCs w:val="24"/>
            </w:rPr>
            <w:t xml:space="preserve">Meeting date </w:t>
          </w:r>
        </w:p>
      </w:tc>
    </w:tr>
    <w:tr w:rsidR="00360989" w14:paraId="0AECF386" w14:textId="77777777" w:rsidTr="00EB0DE5">
      <w:trPr>
        <w:trHeight w:val="450"/>
      </w:trPr>
      <w:tc>
        <w:tcPr>
          <w:tcW w:w="6062" w:type="dxa"/>
          <w:vMerge/>
        </w:tcPr>
        <w:p w14:paraId="0AECF383" w14:textId="77777777" w:rsidR="00360989" w:rsidRDefault="00360989" w:rsidP="00EB0DE5">
          <w:pPr>
            <w:pStyle w:val="Header"/>
          </w:pPr>
        </w:p>
      </w:tc>
      <w:tc>
        <w:tcPr>
          <w:tcW w:w="3225" w:type="dxa"/>
        </w:tcPr>
        <w:p w14:paraId="0AECF384" w14:textId="77777777" w:rsidR="00360989" w:rsidRDefault="00360989" w:rsidP="00EB0DE5">
          <w:pPr>
            <w:pStyle w:val="Header"/>
            <w:spacing w:before="60"/>
            <w:rPr>
              <w:rFonts w:ascii="Arial" w:hAnsi="Arial" w:cs="Arial"/>
              <w:b/>
              <w:sz w:val="24"/>
              <w:szCs w:val="24"/>
            </w:rPr>
          </w:pPr>
        </w:p>
        <w:p w14:paraId="0AECF385" w14:textId="77777777" w:rsidR="00360989" w:rsidRPr="00546D0D" w:rsidRDefault="00360989" w:rsidP="00EB0DE5">
          <w:pPr>
            <w:pStyle w:val="Header"/>
            <w:spacing w:before="60"/>
            <w:rPr>
              <w:rFonts w:ascii="Arial" w:hAnsi="Arial" w:cs="Arial"/>
              <w:b/>
              <w:sz w:val="24"/>
              <w:szCs w:val="24"/>
            </w:rPr>
          </w:pPr>
          <w:r>
            <w:rPr>
              <w:rFonts w:ascii="Arial" w:hAnsi="Arial" w:cs="Arial"/>
              <w:b/>
              <w:sz w:val="24"/>
              <w:szCs w:val="24"/>
            </w:rPr>
            <w:t>Item X</w:t>
          </w:r>
        </w:p>
      </w:tc>
    </w:tr>
  </w:tbl>
  <w:p w14:paraId="0AECF387" w14:textId="77777777" w:rsidR="00360989" w:rsidRDefault="00360989" w:rsidP="00EB0DE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F5927" w14:textId="77777777" w:rsidR="00360989" w:rsidRDefault="003609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81"/>
      <w:gridCol w:w="2890"/>
    </w:tblGrid>
    <w:tr w:rsidR="00360989" w:rsidRPr="001D2C76" w14:paraId="32567338" w14:textId="77777777" w:rsidTr="003E41E5">
      <w:tc>
        <w:tcPr>
          <w:tcW w:w="6181" w:type="dxa"/>
          <w:vMerge w:val="restart"/>
        </w:tcPr>
        <w:p w14:paraId="1103E2E0" w14:textId="77777777" w:rsidR="00360989" w:rsidRDefault="00360989" w:rsidP="00EB0DE5">
          <w:pPr>
            <w:pStyle w:val="Header"/>
          </w:pPr>
          <w:r>
            <w:rPr>
              <w:rFonts w:ascii="Arial" w:hAnsi="Arial" w:cs="Arial"/>
              <w:noProof/>
              <w:sz w:val="44"/>
              <w:szCs w:val="44"/>
              <w:lang w:eastAsia="ja-JP"/>
            </w:rPr>
            <w:drawing>
              <wp:inline distT="0" distB="0" distL="0" distR="0" wp14:anchorId="2BDF62CC" wp14:editId="33DDEDAC">
                <wp:extent cx="1200150" cy="70485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704850"/>
                        </a:xfrm>
                        <a:prstGeom prst="rect">
                          <a:avLst/>
                        </a:prstGeom>
                        <a:noFill/>
                        <a:ln>
                          <a:noFill/>
                        </a:ln>
                      </pic:spPr>
                    </pic:pic>
                  </a:graphicData>
                </a:graphic>
              </wp:inline>
            </w:drawing>
          </w:r>
        </w:p>
      </w:tc>
      <w:tc>
        <w:tcPr>
          <w:tcW w:w="2890" w:type="dxa"/>
        </w:tcPr>
        <w:p w14:paraId="5D2367EA" w14:textId="67A17212" w:rsidR="00360989" w:rsidRPr="00EB0DE5" w:rsidRDefault="00360989" w:rsidP="00EB0DE5">
          <w:pPr>
            <w:pStyle w:val="Header"/>
            <w:rPr>
              <w:b/>
              <w:sz w:val="22"/>
              <w:szCs w:val="22"/>
            </w:rPr>
          </w:pPr>
          <w:r>
            <w:rPr>
              <w:rFonts w:ascii="Arial" w:hAnsi="Arial" w:cs="Arial"/>
              <w:b/>
              <w:sz w:val="22"/>
              <w:szCs w:val="22"/>
            </w:rPr>
            <w:t>Improvement &amp;</w:t>
          </w:r>
          <w:r w:rsidRPr="00EB0DE5">
            <w:rPr>
              <w:rFonts w:ascii="Arial" w:hAnsi="Arial" w:cs="Arial"/>
              <w:b/>
              <w:sz w:val="22"/>
              <w:szCs w:val="22"/>
            </w:rPr>
            <w:t xml:space="preserve"> Innovation Board </w:t>
          </w:r>
        </w:p>
      </w:tc>
    </w:tr>
    <w:tr w:rsidR="00360989" w14:paraId="1B447C82" w14:textId="77777777" w:rsidTr="003E41E5">
      <w:trPr>
        <w:trHeight w:val="450"/>
      </w:trPr>
      <w:tc>
        <w:tcPr>
          <w:tcW w:w="6181" w:type="dxa"/>
          <w:vMerge/>
        </w:tcPr>
        <w:p w14:paraId="398F04CF" w14:textId="77777777" w:rsidR="00360989" w:rsidRDefault="00360989" w:rsidP="00EB0DE5">
          <w:pPr>
            <w:pStyle w:val="Header"/>
          </w:pPr>
        </w:p>
      </w:tc>
      <w:tc>
        <w:tcPr>
          <w:tcW w:w="2890" w:type="dxa"/>
        </w:tcPr>
        <w:p w14:paraId="3EB84E65" w14:textId="3F4F213A" w:rsidR="00360989" w:rsidRPr="00EB0DE5" w:rsidRDefault="00360989" w:rsidP="00EB0DE5">
          <w:pPr>
            <w:pStyle w:val="Header"/>
            <w:spacing w:before="60"/>
            <w:rPr>
              <w:rFonts w:ascii="Arial" w:hAnsi="Arial" w:cs="Arial"/>
              <w:sz w:val="22"/>
              <w:szCs w:val="22"/>
            </w:rPr>
          </w:pPr>
          <w:r>
            <w:rPr>
              <w:rFonts w:ascii="Arial" w:hAnsi="Arial" w:cs="Arial"/>
              <w:sz w:val="22"/>
              <w:szCs w:val="22"/>
            </w:rPr>
            <w:t>11 July 2017</w:t>
          </w:r>
        </w:p>
        <w:p w14:paraId="3FA44053" w14:textId="77777777" w:rsidR="00360989" w:rsidRPr="00EB0DE5" w:rsidRDefault="00360989" w:rsidP="00EB0DE5">
          <w:pPr>
            <w:pStyle w:val="Header"/>
            <w:spacing w:before="60"/>
            <w:rPr>
              <w:sz w:val="22"/>
              <w:szCs w:val="22"/>
            </w:rPr>
          </w:pPr>
        </w:p>
      </w:tc>
    </w:tr>
    <w:tr w:rsidR="00360989" w14:paraId="1401C640" w14:textId="77777777" w:rsidTr="003E41E5">
      <w:trPr>
        <w:trHeight w:val="225"/>
      </w:trPr>
      <w:tc>
        <w:tcPr>
          <w:tcW w:w="6181" w:type="dxa"/>
          <w:vMerge/>
        </w:tcPr>
        <w:p w14:paraId="5C76BAA5" w14:textId="77777777" w:rsidR="00360989" w:rsidRDefault="00360989" w:rsidP="00EB0DE5">
          <w:pPr>
            <w:pStyle w:val="Header"/>
          </w:pPr>
        </w:p>
      </w:tc>
      <w:tc>
        <w:tcPr>
          <w:tcW w:w="2890" w:type="dxa"/>
        </w:tcPr>
        <w:p w14:paraId="51E331FE" w14:textId="4DEAB599" w:rsidR="00360989" w:rsidRPr="00EB0DE5" w:rsidRDefault="00360989" w:rsidP="00EB0DE5">
          <w:pPr>
            <w:pStyle w:val="Header"/>
            <w:spacing w:before="60"/>
            <w:rPr>
              <w:rFonts w:ascii="Arial" w:hAnsi="Arial" w:cs="Arial"/>
              <w:b/>
              <w:sz w:val="22"/>
              <w:szCs w:val="22"/>
            </w:rPr>
          </w:pPr>
        </w:p>
      </w:tc>
    </w:tr>
  </w:tbl>
  <w:p w14:paraId="231F4B16" w14:textId="77777777" w:rsidR="00360989" w:rsidRDefault="00360989" w:rsidP="00EB0DE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2A8F6" w14:textId="77777777" w:rsidR="00360989" w:rsidRDefault="00360989" w:rsidP="00EB0DE5">
    <w:pPr>
      <w:rPr>
        <w:rFonts w:ascii="Arial" w:hAnsi="Arial" w:cs="Arial"/>
        <w:sz w:val="44"/>
        <w:szCs w:val="44"/>
      </w:rPr>
    </w:pPr>
  </w:p>
  <w:p w14:paraId="64A89193" w14:textId="77777777" w:rsidR="00360989" w:rsidRDefault="00360989" w:rsidP="00EB0DE5">
    <w:pPr>
      <w:rPr>
        <w:rFonts w:ascii="Arial" w:hAnsi="Arial" w:cs="Arial"/>
        <w:sz w:val="44"/>
        <w:szCs w:val="44"/>
      </w:rPr>
    </w:pPr>
    <w:r>
      <w:rPr>
        <w:rFonts w:ascii="Arial" w:hAnsi="Arial" w:cs="Arial"/>
        <w:noProof/>
        <w:sz w:val="44"/>
        <w:szCs w:val="44"/>
        <w:lang w:eastAsia="ja-JP"/>
      </w:rPr>
      <w:drawing>
        <wp:inline distT="0" distB="0" distL="0" distR="0" wp14:anchorId="63F3B6D9" wp14:editId="17BA9B18">
          <wp:extent cx="155257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952500"/>
                  </a:xfrm>
                  <a:prstGeom prst="rect">
                    <a:avLst/>
                  </a:prstGeom>
                  <a:noFill/>
                  <a:ln>
                    <a:noFill/>
                  </a:ln>
                </pic:spPr>
              </pic:pic>
            </a:graphicData>
          </a:graphic>
        </wp:inline>
      </w:drawing>
    </w:r>
  </w:p>
  <w:tbl>
    <w:tblPr>
      <w:tblW w:w="9072" w:type="dxa"/>
      <w:tblLayout w:type="fixed"/>
      <w:tblCellMar>
        <w:left w:w="0" w:type="dxa"/>
        <w:right w:w="0" w:type="dxa"/>
      </w:tblCellMar>
      <w:tblLook w:val="0000" w:firstRow="0" w:lastRow="0" w:firstColumn="0" w:lastColumn="0" w:noHBand="0" w:noVBand="0"/>
    </w:tblPr>
    <w:tblGrid>
      <w:gridCol w:w="6663"/>
      <w:gridCol w:w="2409"/>
    </w:tblGrid>
    <w:tr w:rsidR="00360989" w14:paraId="5EFE9426" w14:textId="77777777">
      <w:tc>
        <w:tcPr>
          <w:tcW w:w="6663" w:type="dxa"/>
        </w:tcPr>
        <w:p w14:paraId="31E594B0" w14:textId="77777777" w:rsidR="00360989" w:rsidRPr="005F364F" w:rsidRDefault="00360989">
          <w:pPr>
            <w:pStyle w:val="CtteeandItem"/>
            <w:rPr>
              <w:rFonts w:ascii="Arial" w:hAnsi="Arial" w:cs="Arial"/>
              <w:sz w:val="24"/>
              <w:szCs w:val="24"/>
            </w:rPr>
          </w:pPr>
        </w:p>
      </w:tc>
      <w:tc>
        <w:tcPr>
          <w:tcW w:w="2409" w:type="dxa"/>
        </w:tcPr>
        <w:p w14:paraId="4F85E713" w14:textId="77777777" w:rsidR="00360989" w:rsidRPr="005F364F" w:rsidRDefault="00360989">
          <w:pPr>
            <w:pStyle w:val="CtteeandItem"/>
            <w:tabs>
              <w:tab w:val="right" w:pos="2018"/>
            </w:tabs>
            <w:rPr>
              <w:rFonts w:ascii="Arial" w:hAnsi="Arial" w:cs="Arial"/>
              <w:sz w:val="24"/>
              <w:szCs w:val="24"/>
            </w:rPr>
          </w:pPr>
        </w:p>
      </w:tc>
    </w:tr>
    <w:tr w:rsidR="00360989" w14:paraId="61D4A65B" w14:textId="77777777">
      <w:tc>
        <w:tcPr>
          <w:tcW w:w="6663" w:type="dxa"/>
        </w:tcPr>
        <w:p w14:paraId="6786643F" w14:textId="77777777" w:rsidR="00360989" w:rsidRPr="005F364F" w:rsidRDefault="00360989">
          <w:pPr>
            <w:pStyle w:val="CtteeandItem"/>
            <w:rPr>
              <w:rFonts w:ascii="Arial" w:hAnsi="Arial" w:cs="Arial"/>
              <w:sz w:val="24"/>
              <w:szCs w:val="24"/>
            </w:rPr>
          </w:pPr>
          <w:bookmarkStart w:id="4" w:name="ExecName"/>
          <w:bookmarkEnd w:id="4"/>
          <w:r>
            <w:rPr>
              <w:rFonts w:ascii="Arial" w:hAnsi="Arial" w:cs="Arial"/>
              <w:sz w:val="24"/>
              <w:szCs w:val="24"/>
            </w:rPr>
            <w:t>LG Group Executive      [arial 12 bold]</w:t>
          </w:r>
        </w:p>
      </w:tc>
      <w:tc>
        <w:tcPr>
          <w:tcW w:w="2409" w:type="dxa"/>
        </w:tcPr>
        <w:p w14:paraId="29C0BB0D" w14:textId="77777777" w:rsidR="00360989" w:rsidRPr="005F364F" w:rsidRDefault="00360989">
          <w:pPr>
            <w:pStyle w:val="CtteeandItem"/>
            <w:tabs>
              <w:tab w:val="right" w:pos="2018"/>
            </w:tabs>
            <w:rPr>
              <w:rFonts w:ascii="Arial" w:hAnsi="Arial" w:cs="Arial"/>
              <w:sz w:val="24"/>
              <w:szCs w:val="24"/>
            </w:rPr>
          </w:pPr>
          <w:r w:rsidRPr="005F364F">
            <w:rPr>
              <w:rFonts w:ascii="Arial" w:hAnsi="Arial" w:cs="Arial"/>
              <w:sz w:val="24"/>
              <w:szCs w:val="24"/>
            </w:rPr>
            <w:t xml:space="preserve">Item  </w:t>
          </w:r>
          <w:bookmarkStart w:id="5" w:name="ItemNo"/>
          <w:bookmarkEnd w:id="5"/>
          <w:r>
            <w:rPr>
              <w:rFonts w:ascii="Arial" w:hAnsi="Arial" w:cs="Arial"/>
              <w:sz w:val="24"/>
              <w:szCs w:val="24"/>
            </w:rPr>
            <w:t>1</w:t>
          </w:r>
        </w:p>
      </w:tc>
    </w:tr>
    <w:tr w:rsidR="00360989" w14:paraId="0CEE11E2" w14:textId="77777777">
      <w:tc>
        <w:tcPr>
          <w:tcW w:w="9072" w:type="dxa"/>
          <w:gridSpan w:val="2"/>
          <w:tcBorders>
            <w:bottom w:val="single" w:sz="6" w:space="0" w:color="auto"/>
          </w:tcBorders>
        </w:tcPr>
        <w:p w14:paraId="35FED996" w14:textId="77777777" w:rsidR="00360989" w:rsidRPr="00994E1F" w:rsidRDefault="00360989">
          <w:pPr>
            <w:pStyle w:val="Date"/>
            <w:rPr>
              <w:rFonts w:ascii="Arial" w:hAnsi="Arial" w:cs="Arial"/>
              <w:b/>
              <w:sz w:val="24"/>
              <w:szCs w:val="24"/>
            </w:rPr>
          </w:pPr>
          <w:bookmarkStart w:id="6" w:name="Date"/>
          <w:bookmarkEnd w:id="6"/>
          <w:r>
            <w:rPr>
              <w:rFonts w:ascii="Arial" w:hAnsi="Arial" w:cs="Arial"/>
              <w:sz w:val="24"/>
              <w:szCs w:val="24"/>
            </w:rPr>
            <w:t xml:space="preserve">1 September 2010           [arial 12]                                             </w:t>
          </w:r>
          <w:r>
            <w:rPr>
              <w:rFonts w:ascii="Arial" w:hAnsi="Arial" w:cs="Arial"/>
              <w:b/>
              <w:sz w:val="24"/>
              <w:szCs w:val="24"/>
            </w:rPr>
            <w:t>Appendix 1</w:t>
          </w:r>
        </w:p>
      </w:tc>
    </w:tr>
  </w:tbl>
  <w:p w14:paraId="2430BC08" w14:textId="77777777" w:rsidR="00360989" w:rsidRDefault="0036098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63D"/>
    <w:multiLevelType w:val="hybridMultilevel"/>
    <w:tmpl w:val="975E5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C6316"/>
    <w:multiLevelType w:val="hybridMultilevel"/>
    <w:tmpl w:val="1FC88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358EE"/>
    <w:multiLevelType w:val="hybridMultilevel"/>
    <w:tmpl w:val="E08CF3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8A42375"/>
    <w:multiLevelType w:val="hybridMultilevel"/>
    <w:tmpl w:val="E9504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817FB6"/>
    <w:multiLevelType w:val="multilevel"/>
    <w:tmpl w:val="C1EAC5D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B43060"/>
    <w:multiLevelType w:val="hybridMultilevel"/>
    <w:tmpl w:val="3830ECA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BB71A8B"/>
    <w:multiLevelType w:val="multilevel"/>
    <w:tmpl w:val="6338AFAA"/>
    <w:lvl w:ilvl="0">
      <w:start w:val="9"/>
      <w:numFmt w:val="decimal"/>
      <w:lvlText w:val="%1"/>
      <w:lvlJc w:val="left"/>
      <w:pPr>
        <w:ind w:left="480" w:hanging="480"/>
      </w:pPr>
      <w:rPr>
        <w:rFonts w:hint="default"/>
      </w:rPr>
    </w:lvl>
    <w:lvl w:ilvl="1">
      <w:start w:val="3"/>
      <w:numFmt w:val="decimal"/>
      <w:lvlText w:val="%1.%2"/>
      <w:lvlJc w:val="left"/>
      <w:pPr>
        <w:ind w:left="765" w:hanging="48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 w15:restartNumberingAfterBreak="0">
    <w:nsid w:val="15E368BA"/>
    <w:multiLevelType w:val="hybridMultilevel"/>
    <w:tmpl w:val="EAA430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723508A"/>
    <w:multiLevelType w:val="hybridMultilevel"/>
    <w:tmpl w:val="F4F8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E65AC"/>
    <w:multiLevelType w:val="hybridMultilevel"/>
    <w:tmpl w:val="A8DC9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C442CF"/>
    <w:multiLevelType w:val="multilevel"/>
    <w:tmpl w:val="6E427374"/>
    <w:lvl w:ilvl="0">
      <w:start w:val="9"/>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1" w15:restartNumberingAfterBreak="0">
    <w:nsid w:val="1AD17FE3"/>
    <w:multiLevelType w:val="multilevel"/>
    <w:tmpl w:val="04D0E1F6"/>
    <w:lvl w:ilvl="0">
      <w:start w:val="9"/>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1AE212B1"/>
    <w:multiLevelType w:val="multilevel"/>
    <w:tmpl w:val="8AE606FC"/>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9D1A2D"/>
    <w:multiLevelType w:val="hybridMultilevel"/>
    <w:tmpl w:val="E74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0CF63B6"/>
    <w:multiLevelType w:val="multilevel"/>
    <w:tmpl w:val="FA5080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1353243"/>
    <w:multiLevelType w:val="hybridMultilevel"/>
    <w:tmpl w:val="18748F12"/>
    <w:lvl w:ilvl="0" w:tplc="08090011">
      <w:start w:val="1"/>
      <w:numFmt w:val="decimal"/>
      <w:lvlText w:val="%1)"/>
      <w:lvlJc w:val="left"/>
      <w:pPr>
        <w:ind w:left="720" w:hanging="360"/>
      </w:pPr>
      <w:rPr>
        <w:rFonts w:eastAsia="Times New Roman"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B97E9C"/>
    <w:multiLevelType w:val="hybridMultilevel"/>
    <w:tmpl w:val="48100084"/>
    <w:lvl w:ilvl="0" w:tplc="7340D31A">
      <w:numFmt w:val="bullet"/>
      <w:lvlText w:val=""/>
      <w:lvlJc w:val="left"/>
      <w:pPr>
        <w:ind w:left="360" w:hanging="360"/>
      </w:pPr>
      <w:rPr>
        <w:rFonts w:ascii="Symbol" w:eastAsia="Calibr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1D634CC"/>
    <w:multiLevelType w:val="hybridMultilevel"/>
    <w:tmpl w:val="11E01FFE"/>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222C174A"/>
    <w:multiLevelType w:val="hybridMultilevel"/>
    <w:tmpl w:val="ABA2D1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8B1EB4"/>
    <w:multiLevelType w:val="multilevel"/>
    <w:tmpl w:val="EE920172"/>
    <w:lvl w:ilvl="0">
      <w:start w:val="9"/>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2FD95DE1"/>
    <w:multiLevelType w:val="hybridMultilevel"/>
    <w:tmpl w:val="8738E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0137F4B"/>
    <w:multiLevelType w:val="multilevel"/>
    <w:tmpl w:val="A13CFBE8"/>
    <w:lvl w:ilvl="0">
      <w:start w:val="2"/>
      <w:numFmt w:val="decimal"/>
      <w:lvlText w:val="%1."/>
      <w:lvlJc w:val="left"/>
      <w:pPr>
        <w:ind w:left="360" w:hanging="360"/>
      </w:pPr>
      <w:rPr>
        <w:rFonts w:hint="default"/>
        <w:b w:val="0"/>
      </w:rPr>
    </w:lvl>
    <w:lvl w:ilvl="1">
      <w:start w:val="1"/>
      <w:numFmt w:val="decimal"/>
      <w:suff w:val="space"/>
      <w:lvlText w:val="%1.%2."/>
      <w:lvlJc w:val="left"/>
      <w:pPr>
        <w:ind w:left="720" w:hanging="363"/>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1112655"/>
    <w:multiLevelType w:val="hybridMultilevel"/>
    <w:tmpl w:val="52A04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4D7537C"/>
    <w:multiLevelType w:val="hybridMultilevel"/>
    <w:tmpl w:val="2C122BC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3D662787"/>
    <w:multiLevelType w:val="hybridMultilevel"/>
    <w:tmpl w:val="BD7CD5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E296A5B"/>
    <w:multiLevelType w:val="hybridMultilevel"/>
    <w:tmpl w:val="B9128B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726A66"/>
    <w:multiLevelType w:val="hybridMultilevel"/>
    <w:tmpl w:val="D30AC41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9E365E"/>
    <w:multiLevelType w:val="hybridMultilevel"/>
    <w:tmpl w:val="D80CF7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27C1F13"/>
    <w:multiLevelType w:val="hybridMultilevel"/>
    <w:tmpl w:val="4B101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37F0423"/>
    <w:multiLevelType w:val="multilevel"/>
    <w:tmpl w:val="BE7402D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0E7283"/>
    <w:multiLevelType w:val="multilevel"/>
    <w:tmpl w:val="63F07346"/>
    <w:lvl w:ilvl="0">
      <w:start w:val="1"/>
      <w:numFmt w:val="decimal"/>
      <w:lvlText w:val="12.%1."/>
      <w:lvlJc w:val="left"/>
      <w:pPr>
        <w:ind w:left="1287" w:hanging="360"/>
      </w:pPr>
      <w:rPr>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57274187"/>
    <w:multiLevelType w:val="hybridMultilevel"/>
    <w:tmpl w:val="3056D5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5766338B"/>
    <w:multiLevelType w:val="multilevel"/>
    <w:tmpl w:val="6338AFAA"/>
    <w:lvl w:ilvl="0">
      <w:start w:val="9"/>
      <w:numFmt w:val="decimal"/>
      <w:lvlText w:val="%1"/>
      <w:lvlJc w:val="left"/>
      <w:pPr>
        <w:ind w:left="480" w:hanging="480"/>
      </w:pPr>
      <w:rPr>
        <w:rFonts w:hint="default"/>
      </w:rPr>
    </w:lvl>
    <w:lvl w:ilvl="1">
      <w:start w:val="1"/>
      <w:numFmt w:val="decimal"/>
      <w:lvlText w:val="%1.%2"/>
      <w:lvlJc w:val="left"/>
      <w:pPr>
        <w:ind w:left="765" w:hanging="48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4" w15:restartNumberingAfterBreak="0">
    <w:nsid w:val="5B76184C"/>
    <w:multiLevelType w:val="hybridMultilevel"/>
    <w:tmpl w:val="6A026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F35463D"/>
    <w:multiLevelType w:val="hybridMultilevel"/>
    <w:tmpl w:val="DD9C679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6B95046F"/>
    <w:multiLevelType w:val="hybridMultilevel"/>
    <w:tmpl w:val="22A6A02A"/>
    <w:lvl w:ilvl="0" w:tplc="95382698">
      <w:start w:val="1"/>
      <w:numFmt w:val="decimal"/>
      <w:lvlText w:val="%1."/>
      <w:lvlJc w:val="left"/>
      <w:pPr>
        <w:ind w:left="357" w:hanging="357"/>
      </w:pPr>
      <w:rPr>
        <w:rFonts w:eastAsia="Times New Roman"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9366C3"/>
    <w:multiLevelType w:val="hybridMultilevel"/>
    <w:tmpl w:val="1EB2F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355960"/>
    <w:multiLevelType w:val="hybridMultilevel"/>
    <w:tmpl w:val="23C6AE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B292A21"/>
    <w:multiLevelType w:val="hybridMultilevel"/>
    <w:tmpl w:val="B7F24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5B2778"/>
    <w:multiLevelType w:val="multilevel"/>
    <w:tmpl w:val="CC78C79C"/>
    <w:lvl w:ilvl="0">
      <w:start w:val="1"/>
      <w:numFmt w:val="bullet"/>
      <w:lvlText w:val=""/>
      <w:lvlJc w:val="left"/>
      <w:pPr>
        <w:ind w:left="360" w:hanging="360"/>
      </w:pPr>
      <w:rPr>
        <w:rFonts w:ascii="Symbol" w:hAnsi="Symbol" w:hint="default"/>
        <w:b w:val="0"/>
        <w:sz w:val="22"/>
        <w:szCs w:val="22"/>
      </w:rPr>
    </w:lvl>
    <w:lvl w:ilvl="1">
      <w:start w:val="1"/>
      <w:numFmt w:val="decimal"/>
      <w:lvlText w:val="9.%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F7B660A"/>
    <w:multiLevelType w:val="hybridMultilevel"/>
    <w:tmpl w:val="12A829F6"/>
    <w:lvl w:ilvl="0" w:tplc="633C5CD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F983979"/>
    <w:multiLevelType w:val="hybridMultilevel"/>
    <w:tmpl w:val="D332C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30"/>
  </w:num>
  <w:num w:numId="4">
    <w:abstractNumId w:val="14"/>
  </w:num>
  <w:num w:numId="5">
    <w:abstractNumId w:val="34"/>
  </w:num>
  <w:num w:numId="6">
    <w:abstractNumId w:val="1"/>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2"/>
  </w:num>
  <w:num w:numId="15">
    <w:abstractNumId w:val="35"/>
  </w:num>
  <w:num w:numId="16">
    <w:abstractNumId w:val="29"/>
  </w:num>
  <w:num w:numId="17">
    <w:abstractNumId w:val="5"/>
  </w:num>
  <w:num w:numId="18">
    <w:abstractNumId w:val="42"/>
  </w:num>
  <w:num w:numId="19">
    <w:abstractNumId w:val="9"/>
  </w:num>
  <w:num w:numId="20">
    <w:abstractNumId w:val="8"/>
  </w:num>
  <w:num w:numId="21">
    <w:abstractNumId w:val="3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41"/>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0"/>
  </w:num>
  <w:num w:numId="28">
    <w:abstractNumId w:val="16"/>
  </w:num>
  <w:num w:numId="29">
    <w:abstractNumId w:val="4"/>
  </w:num>
  <w:num w:numId="30">
    <w:abstractNumId w:val="39"/>
  </w:num>
  <w:num w:numId="31">
    <w:abstractNumId w:val="10"/>
  </w:num>
  <w:num w:numId="32">
    <w:abstractNumId w:val="33"/>
  </w:num>
  <w:num w:numId="33">
    <w:abstractNumId w:val="6"/>
  </w:num>
  <w:num w:numId="34">
    <w:abstractNumId w:val="19"/>
  </w:num>
  <w:num w:numId="35">
    <w:abstractNumId w:val="11"/>
  </w:num>
  <w:num w:numId="36">
    <w:abstractNumId w:val="25"/>
  </w:num>
  <w:num w:numId="37">
    <w:abstractNumId w:val="12"/>
  </w:num>
  <w:num w:numId="38">
    <w:abstractNumId w:val="25"/>
  </w:num>
  <w:num w:numId="39">
    <w:abstractNumId w:val="3"/>
  </w:num>
  <w:num w:numId="40">
    <w:abstractNumId w:val="23"/>
  </w:num>
  <w:num w:numId="41">
    <w:abstractNumId w:val="18"/>
  </w:num>
  <w:num w:numId="42">
    <w:abstractNumId w:val="22"/>
  </w:num>
  <w:num w:numId="43">
    <w:abstractNumId w:val="20"/>
  </w:num>
  <w:num w:numId="44">
    <w:abstractNumId w:val="15"/>
  </w:num>
  <w:num w:numId="45">
    <w:abstractNumId w:val="21"/>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2080"/>
    <w:rsid w:val="00006F24"/>
    <w:rsid w:val="0000792D"/>
    <w:rsid w:val="0002268F"/>
    <w:rsid w:val="00035610"/>
    <w:rsid w:val="00037C4A"/>
    <w:rsid w:val="00050FB9"/>
    <w:rsid w:val="00053667"/>
    <w:rsid w:val="00055F9E"/>
    <w:rsid w:val="00061C4D"/>
    <w:rsid w:val="00067B19"/>
    <w:rsid w:val="00080047"/>
    <w:rsid w:val="0008033C"/>
    <w:rsid w:val="000937F8"/>
    <w:rsid w:val="000A4F76"/>
    <w:rsid w:val="000C1461"/>
    <w:rsid w:val="00122698"/>
    <w:rsid w:val="00160348"/>
    <w:rsid w:val="001A6A6B"/>
    <w:rsid w:val="001B36CE"/>
    <w:rsid w:val="001C5EAE"/>
    <w:rsid w:val="001C61C7"/>
    <w:rsid w:val="00204320"/>
    <w:rsid w:val="0021059B"/>
    <w:rsid w:val="00214E59"/>
    <w:rsid w:val="00271A1C"/>
    <w:rsid w:val="0027321E"/>
    <w:rsid w:val="00283531"/>
    <w:rsid w:val="00291457"/>
    <w:rsid w:val="002C7CDC"/>
    <w:rsid w:val="002D39A7"/>
    <w:rsid w:val="002D7778"/>
    <w:rsid w:val="003064FF"/>
    <w:rsid w:val="00315F0A"/>
    <w:rsid w:val="00317EE6"/>
    <w:rsid w:val="00317FD9"/>
    <w:rsid w:val="00337312"/>
    <w:rsid w:val="003377EC"/>
    <w:rsid w:val="00353E92"/>
    <w:rsid w:val="00360989"/>
    <w:rsid w:val="003A4EBA"/>
    <w:rsid w:val="003D42F5"/>
    <w:rsid w:val="003D69FF"/>
    <w:rsid w:val="003E41E5"/>
    <w:rsid w:val="003E6AE1"/>
    <w:rsid w:val="00403076"/>
    <w:rsid w:val="00411F01"/>
    <w:rsid w:val="00414B19"/>
    <w:rsid w:val="004165E6"/>
    <w:rsid w:val="00424E0F"/>
    <w:rsid w:val="004367D5"/>
    <w:rsid w:val="00441002"/>
    <w:rsid w:val="004530A9"/>
    <w:rsid w:val="00454863"/>
    <w:rsid w:val="004B0C85"/>
    <w:rsid w:val="004B2754"/>
    <w:rsid w:val="004F55A0"/>
    <w:rsid w:val="00517FB1"/>
    <w:rsid w:val="0052731F"/>
    <w:rsid w:val="005576EC"/>
    <w:rsid w:val="005604B8"/>
    <w:rsid w:val="005752EB"/>
    <w:rsid w:val="005819BE"/>
    <w:rsid w:val="00583055"/>
    <w:rsid w:val="00596E97"/>
    <w:rsid w:val="005A2C27"/>
    <w:rsid w:val="005B108B"/>
    <w:rsid w:val="005C498E"/>
    <w:rsid w:val="005E6143"/>
    <w:rsid w:val="00604F04"/>
    <w:rsid w:val="0066318B"/>
    <w:rsid w:val="00663E46"/>
    <w:rsid w:val="006809B5"/>
    <w:rsid w:val="00687941"/>
    <w:rsid w:val="00696F94"/>
    <w:rsid w:val="006B04E3"/>
    <w:rsid w:val="007053D5"/>
    <w:rsid w:val="00721A0C"/>
    <w:rsid w:val="00741D62"/>
    <w:rsid w:val="007626D5"/>
    <w:rsid w:val="00772279"/>
    <w:rsid w:val="00793736"/>
    <w:rsid w:val="007949CD"/>
    <w:rsid w:val="007A03E6"/>
    <w:rsid w:val="007D2E31"/>
    <w:rsid w:val="007F7C7E"/>
    <w:rsid w:val="008419CC"/>
    <w:rsid w:val="00867A3F"/>
    <w:rsid w:val="008732A9"/>
    <w:rsid w:val="0088476B"/>
    <w:rsid w:val="00891AE9"/>
    <w:rsid w:val="008E2044"/>
    <w:rsid w:val="008E728A"/>
    <w:rsid w:val="008F0382"/>
    <w:rsid w:val="008F34AF"/>
    <w:rsid w:val="008F54A3"/>
    <w:rsid w:val="009127DA"/>
    <w:rsid w:val="00914BEF"/>
    <w:rsid w:val="0093474A"/>
    <w:rsid w:val="00951641"/>
    <w:rsid w:val="00992E96"/>
    <w:rsid w:val="009B4058"/>
    <w:rsid w:val="009E40D4"/>
    <w:rsid w:val="009E6791"/>
    <w:rsid w:val="009E7EFE"/>
    <w:rsid w:val="009F48EF"/>
    <w:rsid w:val="00A055A8"/>
    <w:rsid w:val="00A17838"/>
    <w:rsid w:val="00A20AB5"/>
    <w:rsid w:val="00A55143"/>
    <w:rsid w:val="00A60C85"/>
    <w:rsid w:val="00AA6C5F"/>
    <w:rsid w:val="00AC4934"/>
    <w:rsid w:val="00AC7277"/>
    <w:rsid w:val="00AD485F"/>
    <w:rsid w:val="00AD5F54"/>
    <w:rsid w:val="00B00214"/>
    <w:rsid w:val="00B12AFC"/>
    <w:rsid w:val="00B1409C"/>
    <w:rsid w:val="00B2145D"/>
    <w:rsid w:val="00B23DA6"/>
    <w:rsid w:val="00B35487"/>
    <w:rsid w:val="00B4180F"/>
    <w:rsid w:val="00B4734B"/>
    <w:rsid w:val="00B80963"/>
    <w:rsid w:val="00B82F7D"/>
    <w:rsid w:val="00B84178"/>
    <w:rsid w:val="00BC7AE0"/>
    <w:rsid w:val="00BF4FC6"/>
    <w:rsid w:val="00C35D57"/>
    <w:rsid w:val="00C40B62"/>
    <w:rsid w:val="00C4568C"/>
    <w:rsid w:val="00C55C0C"/>
    <w:rsid w:val="00C824E6"/>
    <w:rsid w:val="00CA1CE2"/>
    <w:rsid w:val="00CC0AAC"/>
    <w:rsid w:val="00CD6C2A"/>
    <w:rsid w:val="00CF6728"/>
    <w:rsid w:val="00D079D9"/>
    <w:rsid w:val="00D15C56"/>
    <w:rsid w:val="00D26F09"/>
    <w:rsid w:val="00D45B4D"/>
    <w:rsid w:val="00D73C35"/>
    <w:rsid w:val="00D80DAE"/>
    <w:rsid w:val="00D8283F"/>
    <w:rsid w:val="00D86690"/>
    <w:rsid w:val="00D96BF9"/>
    <w:rsid w:val="00D97FF4"/>
    <w:rsid w:val="00DB085C"/>
    <w:rsid w:val="00E10C7F"/>
    <w:rsid w:val="00E118DA"/>
    <w:rsid w:val="00E1448D"/>
    <w:rsid w:val="00E4710D"/>
    <w:rsid w:val="00E60436"/>
    <w:rsid w:val="00E77252"/>
    <w:rsid w:val="00E96B6C"/>
    <w:rsid w:val="00EA4CF3"/>
    <w:rsid w:val="00EA55CF"/>
    <w:rsid w:val="00EB0DE5"/>
    <w:rsid w:val="00ED1A8D"/>
    <w:rsid w:val="00ED711B"/>
    <w:rsid w:val="00F27914"/>
    <w:rsid w:val="00F27BE1"/>
    <w:rsid w:val="00F91078"/>
    <w:rsid w:val="00FA6266"/>
    <w:rsid w:val="00FC30D5"/>
    <w:rsid w:val="00FD1860"/>
    <w:rsid w:val="00FE2386"/>
    <w:rsid w:val="00FE612A"/>
    <w:rsid w:val="00FE624B"/>
    <w:rsid w:val="00FF04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0AECF31D"/>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86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92E96"/>
    <w:pPr>
      <w:ind w:left="720"/>
    </w:pPr>
  </w:style>
  <w:style w:type="paragraph" w:customStyle="1" w:styleId="CtteeandItem">
    <w:name w:val="Cttee and Item"/>
    <w:basedOn w:val="Normal"/>
    <w:rsid w:val="0008033C"/>
    <w:pPr>
      <w:spacing w:line="360" w:lineRule="exact"/>
    </w:pPr>
    <w:rPr>
      <w:rFonts w:ascii="Frutiger 55 Roman" w:hAnsi="Frutiger 55 Roman"/>
      <w:b/>
    </w:rPr>
  </w:style>
  <w:style w:type="paragraph" w:styleId="Date">
    <w:name w:val="Date"/>
    <w:basedOn w:val="Normal"/>
    <w:link w:val="DateChar"/>
    <w:rsid w:val="0008033C"/>
    <w:pPr>
      <w:spacing w:after="40" w:line="360" w:lineRule="exact"/>
      <w:ind w:right="57"/>
    </w:pPr>
  </w:style>
  <w:style w:type="character" w:customStyle="1" w:styleId="DateChar">
    <w:name w:val="Date Char"/>
    <w:basedOn w:val="DefaultParagraphFont"/>
    <w:link w:val="Date"/>
    <w:rsid w:val="0008033C"/>
    <w:rPr>
      <w:rFonts w:ascii="Frutiger 45 Light" w:eastAsia="Times New Roman" w:hAnsi="Frutiger 45 Light" w:cs="Times New Roman"/>
      <w:szCs w:val="20"/>
      <w:lang w:eastAsia="en-GB"/>
    </w:rPr>
  </w:style>
  <w:style w:type="paragraph" w:styleId="NoSpacing">
    <w:name w:val="No Spacing"/>
    <w:uiPriority w:val="1"/>
    <w:qFormat/>
    <w:rsid w:val="0008033C"/>
    <w:pPr>
      <w:spacing w:after="0" w:line="240" w:lineRule="auto"/>
    </w:pPr>
    <w:rPr>
      <w:rFonts w:ascii="Frutiger 45 Light" w:eastAsia="Times New Roman" w:hAnsi="Frutiger 45 Light" w:cs="Times New Roman"/>
      <w:szCs w:val="20"/>
      <w:lang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link w:val="ListParagraph"/>
    <w:uiPriority w:val="34"/>
    <w:locked/>
    <w:rsid w:val="0008033C"/>
    <w:rPr>
      <w:rFonts w:ascii="Frutiger 45 Light" w:eastAsia="Times New Roman" w:hAnsi="Frutiger 45 Light" w:cs="Times New Roman"/>
      <w:szCs w:val="20"/>
      <w:lang w:eastAsia="en-GB"/>
    </w:rPr>
  </w:style>
  <w:style w:type="paragraph" w:customStyle="1" w:styleId="Default">
    <w:name w:val="Default"/>
    <w:rsid w:val="0008033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419CC"/>
    <w:rPr>
      <w:color w:val="954F72" w:themeColor="followedHyperlink"/>
      <w:u w:val="single"/>
    </w:rPr>
  </w:style>
  <w:style w:type="character" w:styleId="CommentReference">
    <w:name w:val="annotation reference"/>
    <w:basedOn w:val="DefaultParagraphFont"/>
    <w:uiPriority w:val="99"/>
    <w:semiHidden/>
    <w:unhideWhenUsed/>
    <w:rsid w:val="00337312"/>
    <w:rPr>
      <w:sz w:val="16"/>
      <w:szCs w:val="16"/>
    </w:rPr>
  </w:style>
  <w:style w:type="paragraph" w:styleId="CommentText">
    <w:name w:val="annotation text"/>
    <w:basedOn w:val="Normal"/>
    <w:link w:val="CommentTextChar"/>
    <w:uiPriority w:val="99"/>
    <w:semiHidden/>
    <w:unhideWhenUsed/>
    <w:rsid w:val="00337312"/>
    <w:rPr>
      <w:sz w:val="20"/>
    </w:rPr>
  </w:style>
  <w:style w:type="character" w:customStyle="1" w:styleId="CommentTextChar">
    <w:name w:val="Comment Text Char"/>
    <w:basedOn w:val="DefaultParagraphFont"/>
    <w:link w:val="CommentText"/>
    <w:uiPriority w:val="99"/>
    <w:semiHidden/>
    <w:rsid w:val="00337312"/>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37312"/>
    <w:rPr>
      <w:b/>
      <w:bCs/>
    </w:rPr>
  </w:style>
  <w:style w:type="character" w:customStyle="1" w:styleId="CommentSubjectChar">
    <w:name w:val="Comment Subject Char"/>
    <w:basedOn w:val="CommentTextChar"/>
    <w:link w:val="CommentSubject"/>
    <w:uiPriority w:val="99"/>
    <w:semiHidden/>
    <w:rsid w:val="00337312"/>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337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312"/>
    <w:rPr>
      <w:rFonts w:ascii="Segoe UI" w:eastAsia="Times New Roman" w:hAnsi="Segoe UI" w:cs="Segoe UI"/>
      <w:sz w:val="18"/>
      <w:szCs w:val="18"/>
      <w:lang w:eastAsia="en-GB"/>
    </w:rPr>
  </w:style>
  <w:style w:type="paragraph" w:customStyle="1" w:styleId="LGASubHead1">
    <w:name w:val="LGA Sub Head1"/>
    <w:basedOn w:val="MainText"/>
    <w:next w:val="MainText"/>
    <w:rsid w:val="004B0C85"/>
    <w:pPr>
      <w:spacing w:after="120" w:line="240" w:lineRule="auto"/>
    </w:pPr>
    <w:rPr>
      <w:b/>
      <w:sz w:val="28"/>
    </w:rPr>
  </w:style>
  <w:style w:type="paragraph" w:styleId="PlainText">
    <w:name w:val="Plain Text"/>
    <w:basedOn w:val="Normal"/>
    <w:link w:val="PlainTextChar"/>
    <w:uiPriority w:val="99"/>
    <w:semiHidden/>
    <w:unhideWhenUsed/>
    <w:rsid w:val="00B4734B"/>
    <w:rPr>
      <w:rFonts w:ascii="Arial" w:eastAsiaTheme="minorHAnsi" w:hAnsi="Arial" w:cs="Arial"/>
      <w:szCs w:val="22"/>
      <w:lang w:eastAsia="en-US"/>
    </w:rPr>
  </w:style>
  <w:style w:type="character" w:customStyle="1" w:styleId="PlainTextChar">
    <w:name w:val="Plain Text Char"/>
    <w:basedOn w:val="DefaultParagraphFont"/>
    <w:link w:val="PlainText"/>
    <w:uiPriority w:val="99"/>
    <w:semiHidden/>
    <w:rsid w:val="00B4734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2577">
      <w:bodyDiv w:val="1"/>
      <w:marLeft w:val="0"/>
      <w:marRight w:val="0"/>
      <w:marTop w:val="0"/>
      <w:marBottom w:val="0"/>
      <w:divBdr>
        <w:top w:val="none" w:sz="0" w:space="0" w:color="auto"/>
        <w:left w:val="none" w:sz="0" w:space="0" w:color="auto"/>
        <w:bottom w:val="none" w:sz="0" w:space="0" w:color="auto"/>
        <w:right w:val="none" w:sz="0" w:space="0" w:color="auto"/>
      </w:divBdr>
    </w:div>
    <w:div w:id="136458055">
      <w:bodyDiv w:val="1"/>
      <w:marLeft w:val="0"/>
      <w:marRight w:val="0"/>
      <w:marTop w:val="0"/>
      <w:marBottom w:val="0"/>
      <w:divBdr>
        <w:top w:val="none" w:sz="0" w:space="0" w:color="auto"/>
        <w:left w:val="none" w:sz="0" w:space="0" w:color="auto"/>
        <w:bottom w:val="none" w:sz="0" w:space="0" w:color="auto"/>
        <w:right w:val="none" w:sz="0" w:space="0" w:color="auto"/>
      </w:divBdr>
    </w:div>
    <w:div w:id="205876729">
      <w:bodyDiv w:val="1"/>
      <w:marLeft w:val="0"/>
      <w:marRight w:val="0"/>
      <w:marTop w:val="0"/>
      <w:marBottom w:val="0"/>
      <w:divBdr>
        <w:top w:val="none" w:sz="0" w:space="0" w:color="auto"/>
        <w:left w:val="none" w:sz="0" w:space="0" w:color="auto"/>
        <w:bottom w:val="none" w:sz="0" w:space="0" w:color="auto"/>
        <w:right w:val="none" w:sz="0" w:space="0" w:color="auto"/>
      </w:divBdr>
    </w:div>
    <w:div w:id="236985409">
      <w:bodyDiv w:val="1"/>
      <w:marLeft w:val="0"/>
      <w:marRight w:val="0"/>
      <w:marTop w:val="0"/>
      <w:marBottom w:val="0"/>
      <w:divBdr>
        <w:top w:val="none" w:sz="0" w:space="0" w:color="auto"/>
        <w:left w:val="none" w:sz="0" w:space="0" w:color="auto"/>
        <w:bottom w:val="none" w:sz="0" w:space="0" w:color="auto"/>
        <w:right w:val="none" w:sz="0" w:space="0" w:color="auto"/>
      </w:divBdr>
    </w:div>
    <w:div w:id="249852927">
      <w:bodyDiv w:val="1"/>
      <w:marLeft w:val="0"/>
      <w:marRight w:val="0"/>
      <w:marTop w:val="0"/>
      <w:marBottom w:val="0"/>
      <w:divBdr>
        <w:top w:val="none" w:sz="0" w:space="0" w:color="auto"/>
        <w:left w:val="none" w:sz="0" w:space="0" w:color="auto"/>
        <w:bottom w:val="none" w:sz="0" w:space="0" w:color="auto"/>
        <w:right w:val="none" w:sz="0" w:space="0" w:color="auto"/>
      </w:divBdr>
    </w:div>
    <w:div w:id="274750648">
      <w:bodyDiv w:val="1"/>
      <w:marLeft w:val="0"/>
      <w:marRight w:val="0"/>
      <w:marTop w:val="0"/>
      <w:marBottom w:val="0"/>
      <w:divBdr>
        <w:top w:val="none" w:sz="0" w:space="0" w:color="auto"/>
        <w:left w:val="none" w:sz="0" w:space="0" w:color="auto"/>
        <w:bottom w:val="none" w:sz="0" w:space="0" w:color="auto"/>
        <w:right w:val="none" w:sz="0" w:space="0" w:color="auto"/>
      </w:divBdr>
    </w:div>
    <w:div w:id="277807775">
      <w:bodyDiv w:val="1"/>
      <w:marLeft w:val="0"/>
      <w:marRight w:val="0"/>
      <w:marTop w:val="0"/>
      <w:marBottom w:val="0"/>
      <w:divBdr>
        <w:top w:val="none" w:sz="0" w:space="0" w:color="auto"/>
        <w:left w:val="none" w:sz="0" w:space="0" w:color="auto"/>
        <w:bottom w:val="none" w:sz="0" w:space="0" w:color="auto"/>
        <w:right w:val="none" w:sz="0" w:space="0" w:color="auto"/>
      </w:divBdr>
    </w:div>
    <w:div w:id="38024871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47819943">
      <w:bodyDiv w:val="1"/>
      <w:marLeft w:val="0"/>
      <w:marRight w:val="0"/>
      <w:marTop w:val="0"/>
      <w:marBottom w:val="0"/>
      <w:divBdr>
        <w:top w:val="none" w:sz="0" w:space="0" w:color="auto"/>
        <w:left w:val="none" w:sz="0" w:space="0" w:color="auto"/>
        <w:bottom w:val="none" w:sz="0" w:space="0" w:color="auto"/>
        <w:right w:val="none" w:sz="0" w:space="0" w:color="auto"/>
      </w:divBdr>
    </w:div>
    <w:div w:id="503520656">
      <w:bodyDiv w:val="1"/>
      <w:marLeft w:val="0"/>
      <w:marRight w:val="0"/>
      <w:marTop w:val="0"/>
      <w:marBottom w:val="0"/>
      <w:divBdr>
        <w:top w:val="none" w:sz="0" w:space="0" w:color="auto"/>
        <w:left w:val="none" w:sz="0" w:space="0" w:color="auto"/>
        <w:bottom w:val="none" w:sz="0" w:space="0" w:color="auto"/>
        <w:right w:val="none" w:sz="0" w:space="0" w:color="auto"/>
      </w:divBdr>
    </w:div>
    <w:div w:id="514421570">
      <w:bodyDiv w:val="1"/>
      <w:marLeft w:val="0"/>
      <w:marRight w:val="0"/>
      <w:marTop w:val="0"/>
      <w:marBottom w:val="0"/>
      <w:divBdr>
        <w:top w:val="none" w:sz="0" w:space="0" w:color="auto"/>
        <w:left w:val="none" w:sz="0" w:space="0" w:color="auto"/>
        <w:bottom w:val="none" w:sz="0" w:space="0" w:color="auto"/>
        <w:right w:val="none" w:sz="0" w:space="0" w:color="auto"/>
      </w:divBdr>
    </w:div>
    <w:div w:id="558515028">
      <w:bodyDiv w:val="1"/>
      <w:marLeft w:val="0"/>
      <w:marRight w:val="0"/>
      <w:marTop w:val="0"/>
      <w:marBottom w:val="0"/>
      <w:divBdr>
        <w:top w:val="none" w:sz="0" w:space="0" w:color="auto"/>
        <w:left w:val="none" w:sz="0" w:space="0" w:color="auto"/>
        <w:bottom w:val="none" w:sz="0" w:space="0" w:color="auto"/>
        <w:right w:val="none" w:sz="0" w:space="0" w:color="auto"/>
      </w:divBdr>
    </w:div>
    <w:div w:id="584261169">
      <w:bodyDiv w:val="1"/>
      <w:marLeft w:val="0"/>
      <w:marRight w:val="0"/>
      <w:marTop w:val="0"/>
      <w:marBottom w:val="0"/>
      <w:divBdr>
        <w:top w:val="none" w:sz="0" w:space="0" w:color="auto"/>
        <w:left w:val="none" w:sz="0" w:space="0" w:color="auto"/>
        <w:bottom w:val="none" w:sz="0" w:space="0" w:color="auto"/>
        <w:right w:val="none" w:sz="0" w:space="0" w:color="auto"/>
      </w:divBdr>
    </w:div>
    <w:div w:id="611673873">
      <w:bodyDiv w:val="1"/>
      <w:marLeft w:val="0"/>
      <w:marRight w:val="0"/>
      <w:marTop w:val="0"/>
      <w:marBottom w:val="0"/>
      <w:divBdr>
        <w:top w:val="none" w:sz="0" w:space="0" w:color="auto"/>
        <w:left w:val="none" w:sz="0" w:space="0" w:color="auto"/>
        <w:bottom w:val="none" w:sz="0" w:space="0" w:color="auto"/>
        <w:right w:val="none" w:sz="0" w:space="0" w:color="auto"/>
      </w:divBdr>
    </w:div>
    <w:div w:id="702874180">
      <w:bodyDiv w:val="1"/>
      <w:marLeft w:val="0"/>
      <w:marRight w:val="0"/>
      <w:marTop w:val="0"/>
      <w:marBottom w:val="0"/>
      <w:divBdr>
        <w:top w:val="none" w:sz="0" w:space="0" w:color="auto"/>
        <w:left w:val="none" w:sz="0" w:space="0" w:color="auto"/>
        <w:bottom w:val="none" w:sz="0" w:space="0" w:color="auto"/>
        <w:right w:val="none" w:sz="0" w:space="0" w:color="auto"/>
      </w:divBdr>
    </w:div>
    <w:div w:id="712845737">
      <w:bodyDiv w:val="1"/>
      <w:marLeft w:val="0"/>
      <w:marRight w:val="0"/>
      <w:marTop w:val="0"/>
      <w:marBottom w:val="0"/>
      <w:divBdr>
        <w:top w:val="none" w:sz="0" w:space="0" w:color="auto"/>
        <w:left w:val="none" w:sz="0" w:space="0" w:color="auto"/>
        <w:bottom w:val="none" w:sz="0" w:space="0" w:color="auto"/>
        <w:right w:val="none" w:sz="0" w:space="0" w:color="auto"/>
      </w:divBdr>
    </w:div>
    <w:div w:id="717625525">
      <w:bodyDiv w:val="1"/>
      <w:marLeft w:val="0"/>
      <w:marRight w:val="0"/>
      <w:marTop w:val="0"/>
      <w:marBottom w:val="0"/>
      <w:divBdr>
        <w:top w:val="none" w:sz="0" w:space="0" w:color="auto"/>
        <w:left w:val="none" w:sz="0" w:space="0" w:color="auto"/>
        <w:bottom w:val="none" w:sz="0" w:space="0" w:color="auto"/>
        <w:right w:val="none" w:sz="0" w:space="0" w:color="auto"/>
      </w:divBdr>
    </w:div>
    <w:div w:id="817647258">
      <w:bodyDiv w:val="1"/>
      <w:marLeft w:val="0"/>
      <w:marRight w:val="0"/>
      <w:marTop w:val="0"/>
      <w:marBottom w:val="0"/>
      <w:divBdr>
        <w:top w:val="none" w:sz="0" w:space="0" w:color="auto"/>
        <w:left w:val="none" w:sz="0" w:space="0" w:color="auto"/>
        <w:bottom w:val="none" w:sz="0" w:space="0" w:color="auto"/>
        <w:right w:val="none" w:sz="0" w:space="0" w:color="auto"/>
      </w:divBdr>
    </w:div>
    <w:div w:id="823546333">
      <w:bodyDiv w:val="1"/>
      <w:marLeft w:val="0"/>
      <w:marRight w:val="0"/>
      <w:marTop w:val="0"/>
      <w:marBottom w:val="0"/>
      <w:divBdr>
        <w:top w:val="none" w:sz="0" w:space="0" w:color="auto"/>
        <w:left w:val="none" w:sz="0" w:space="0" w:color="auto"/>
        <w:bottom w:val="none" w:sz="0" w:space="0" w:color="auto"/>
        <w:right w:val="none" w:sz="0" w:space="0" w:color="auto"/>
      </w:divBdr>
    </w:div>
    <w:div w:id="833836871">
      <w:bodyDiv w:val="1"/>
      <w:marLeft w:val="0"/>
      <w:marRight w:val="0"/>
      <w:marTop w:val="0"/>
      <w:marBottom w:val="0"/>
      <w:divBdr>
        <w:top w:val="none" w:sz="0" w:space="0" w:color="auto"/>
        <w:left w:val="none" w:sz="0" w:space="0" w:color="auto"/>
        <w:bottom w:val="none" w:sz="0" w:space="0" w:color="auto"/>
        <w:right w:val="none" w:sz="0" w:space="0" w:color="auto"/>
      </w:divBdr>
    </w:div>
    <w:div w:id="871961307">
      <w:bodyDiv w:val="1"/>
      <w:marLeft w:val="0"/>
      <w:marRight w:val="0"/>
      <w:marTop w:val="0"/>
      <w:marBottom w:val="0"/>
      <w:divBdr>
        <w:top w:val="none" w:sz="0" w:space="0" w:color="auto"/>
        <w:left w:val="none" w:sz="0" w:space="0" w:color="auto"/>
        <w:bottom w:val="none" w:sz="0" w:space="0" w:color="auto"/>
        <w:right w:val="none" w:sz="0" w:space="0" w:color="auto"/>
      </w:divBdr>
    </w:div>
    <w:div w:id="875046022">
      <w:bodyDiv w:val="1"/>
      <w:marLeft w:val="0"/>
      <w:marRight w:val="0"/>
      <w:marTop w:val="0"/>
      <w:marBottom w:val="0"/>
      <w:divBdr>
        <w:top w:val="none" w:sz="0" w:space="0" w:color="auto"/>
        <w:left w:val="none" w:sz="0" w:space="0" w:color="auto"/>
        <w:bottom w:val="none" w:sz="0" w:space="0" w:color="auto"/>
        <w:right w:val="none" w:sz="0" w:space="0" w:color="auto"/>
      </w:divBdr>
    </w:div>
    <w:div w:id="901906659">
      <w:bodyDiv w:val="1"/>
      <w:marLeft w:val="0"/>
      <w:marRight w:val="0"/>
      <w:marTop w:val="0"/>
      <w:marBottom w:val="0"/>
      <w:divBdr>
        <w:top w:val="none" w:sz="0" w:space="0" w:color="auto"/>
        <w:left w:val="none" w:sz="0" w:space="0" w:color="auto"/>
        <w:bottom w:val="none" w:sz="0" w:space="0" w:color="auto"/>
        <w:right w:val="none" w:sz="0" w:space="0" w:color="auto"/>
      </w:divBdr>
    </w:div>
    <w:div w:id="935598831">
      <w:bodyDiv w:val="1"/>
      <w:marLeft w:val="0"/>
      <w:marRight w:val="0"/>
      <w:marTop w:val="0"/>
      <w:marBottom w:val="0"/>
      <w:divBdr>
        <w:top w:val="none" w:sz="0" w:space="0" w:color="auto"/>
        <w:left w:val="none" w:sz="0" w:space="0" w:color="auto"/>
        <w:bottom w:val="none" w:sz="0" w:space="0" w:color="auto"/>
        <w:right w:val="none" w:sz="0" w:space="0" w:color="auto"/>
      </w:divBdr>
    </w:div>
    <w:div w:id="937176858">
      <w:bodyDiv w:val="1"/>
      <w:marLeft w:val="0"/>
      <w:marRight w:val="0"/>
      <w:marTop w:val="0"/>
      <w:marBottom w:val="0"/>
      <w:divBdr>
        <w:top w:val="none" w:sz="0" w:space="0" w:color="auto"/>
        <w:left w:val="none" w:sz="0" w:space="0" w:color="auto"/>
        <w:bottom w:val="none" w:sz="0" w:space="0" w:color="auto"/>
        <w:right w:val="none" w:sz="0" w:space="0" w:color="auto"/>
      </w:divBdr>
    </w:div>
    <w:div w:id="1022515775">
      <w:bodyDiv w:val="1"/>
      <w:marLeft w:val="0"/>
      <w:marRight w:val="0"/>
      <w:marTop w:val="0"/>
      <w:marBottom w:val="0"/>
      <w:divBdr>
        <w:top w:val="none" w:sz="0" w:space="0" w:color="auto"/>
        <w:left w:val="none" w:sz="0" w:space="0" w:color="auto"/>
        <w:bottom w:val="none" w:sz="0" w:space="0" w:color="auto"/>
        <w:right w:val="none" w:sz="0" w:space="0" w:color="auto"/>
      </w:divBdr>
    </w:div>
    <w:div w:id="1127814228">
      <w:bodyDiv w:val="1"/>
      <w:marLeft w:val="0"/>
      <w:marRight w:val="0"/>
      <w:marTop w:val="0"/>
      <w:marBottom w:val="0"/>
      <w:divBdr>
        <w:top w:val="none" w:sz="0" w:space="0" w:color="auto"/>
        <w:left w:val="none" w:sz="0" w:space="0" w:color="auto"/>
        <w:bottom w:val="none" w:sz="0" w:space="0" w:color="auto"/>
        <w:right w:val="none" w:sz="0" w:space="0" w:color="auto"/>
      </w:divBdr>
    </w:div>
    <w:div w:id="1224951836">
      <w:bodyDiv w:val="1"/>
      <w:marLeft w:val="0"/>
      <w:marRight w:val="0"/>
      <w:marTop w:val="0"/>
      <w:marBottom w:val="0"/>
      <w:divBdr>
        <w:top w:val="none" w:sz="0" w:space="0" w:color="auto"/>
        <w:left w:val="none" w:sz="0" w:space="0" w:color="auto"/>
        <w:bottom w:val="none" w:sz="0" w:space="0" w:color="auto"/>
        <w:right w:val="none" w:sz="0" w:space="0" w:color="auto"/>
      </w:divBdr>
    </w:div>
    <w:div w:id="1300764929">
      <w:bodyDiv w:val="1"/>
      <w:marLeft w:val="0"/>
      <w:marRight w:val="0"/>
      <w:marTop w:val="0"/>
      <w:marBottom w:val="0"/>
      <w:divBdr>
        <w:top w:val="none" w:sz="0" w:space="0" w:color="auto"/>
        <w:left w:val="none" w:sz="0" w:space="0" w:color="auto"/>
        <w:bottom w:val="none" w:sz="0" w:space="0" w:color="auto"/>
        <w:right w:val="none" w:sz="0" w:space="0" w:color="auto"/>
      </w:divBdr>
    </w:div>
    <w:div w:id="1359695523">
      <w:bodyDiv w:val="1"/>
      <w:marLeft w:val="0"/>
      <w:marRight w:val="0"/>
      <w:marTop w:val="0"/>
      <w:marBottom w:val="0"/>
      <w:divBdr>
        <w:top w:val="none" w:sz="0" w:space="0" w:color="auto"/>
        <w:left w:val="none" w:sz="0" w:space="0" w:color="auto"/>
        <w:bottom w:val="none" w:sz="0" w:space="0" w:color="auto"/>
        <w:right w:val="none" w:sz="0" w:space="0" w:color="auto"/>
      </w:divBdr>
    </w:div>
    <w:div w:id="1396007169">
      <w:bodyDiv w:val="1"/>
      <w:marLeft w:val="0"/>
      <w:marRight w:val="0"/>
      <w:marTop w:val="0"/>
      <w:marBottom w:val="0"/>
      <w:divBdr>
        <w:top w:val="none" w:sz="0" w:space="0" w:color="auto"/>
        <w:left w:val="none" w:sz="0" w:space="0" w:color="auto"/>
        <w:bottom w:val="none" w:sz="0" w:space="0" w:color="auto"/>
        <w:right w:val="none" w:sz="0" w:space="0" w:color="auto"/>
      </w:divBdr>
    </w:div>
    <w:div w:id="1452358999">
      <w:bodyDiv w:val="1"/>
      <w:marLeft w:val="0"/>
      <w:marRight w:val="0"/>
      <w:marTop w:val="0"/>
      <w:marBottom w:val="0"/>
      <w:divBdr>
        <w:top w:val="none" w:sz="0" w:space="0" w:color="auto"/>
        <w:left w:val="none" w:sz="0" w:space="0" w:color="auto"/>
        <w:bottom w:val="none" w:sz="0" w:space="0" w:color="auto"/>
        <w:right w:val="none" w:sz="0" w:space="0" w:color="auto"/>
      </w:divBdr>
    </w:div>
    <w:div w:id="1463112754">
      <w:bodyDiv w:val="1"/>
      <w:marLeft w:val="0"/>
      <w:marRight w:val="0"/>
      <w:marTop w:val="0"/>
      <w:marBottom w:val="0"/>
      <w:divBdr>
        <w:top w:val="none" w:sz="0" w:space="0" w:color="auto"/>
        <w:left w:val="none" w:sz="0" w:space="0" w:color="auto"/>
        <w:bottom w:val="none" w:sz="0" w:space="0" w:color="auto"/>
        <w:right w:val="none" w:sz="0" w:space="0" w:color="auto"/>
      </w:divBdr>
    </w:div>
    <w:div w:id="1500078589">
      <w:bodyDiv w:val="1"/>
      <w:marLeft w:val="0"/>
      <w:marRight w:val="0"/>
      <w:marTop w:val="0"/>
      <w:marBottom w:val="0"/>
      <w:divBdr>
        <w:top w:val="none" w:sz="0" w:space="0" w:color="auto"/>
        <w:left w:val="none" w:sz="0" w:space="0" w:color="auto"/>
        <w:bottom w:val="none" w:sz="0" w:space="0" w:color="auto"/>
        <w:right w:val="none" w:sz="0" w:space="0" w:color="auto"/>
      </w:divBdr>
    </w:div>
    <w:div w:id="1568300702">
      <w:bodyDiv w:val="1"/>
      <w:marLeft w:val="0"/>
      <w:marRight w:val="0"/>
      <w:marTop w:val="0"/>
      <w:marBottom w:val="0"/>
      <w:divBdr>
        <w:top w:val="none" w:sz="0" w:space="0" w:color="auto"/>
        <w:left w:val="none" w:sz="0" w:space="0" w:color="auto"/>
        <w:bottom w:val="none" w:sz="0" w:space="0" w:color="auto"/>
        <w:right w:val="none" w:sz="0" w:space="0" w:color="auto"/>
      </w:divBdr>
    </w:div>
    <w:div w:id="1585993979">
      <w:bodyDiv w:val="1"/>
      <w:marLeft w:val="0"/>
      <w:marRight w:val="0"/>
      <w:marTop w:val="0"/>
      <w:marBottom w:val="0"/>
      <w:divBdr>
        <w:top w:val="none" w:sz="0" w:space="0" w:color="auto"/>
        <w:left w:val="none" w:sz="0" w:space="0" w:color="auto"/>
        <w:bottom w:val="none" w:sz="0" w:space="0" w:color="auto"/>
        <w:right w:val="none" w:sz="0" w:space="0" w:color="auto"/>
      </w:divBdr>
    </w:div>
    <w:div w:id="1711228180">
      <w:bodyDiv w:val="1"/>
      <w:marLeft w:val="0"/>
      <w:marRight w:val="0"/>
      <w:marTop w:val="0"/>
      <w:marBottom w:val="0"/>
      <w:divBdr>
        <w:top w:val="none" w:sz="0" w:space="0" w:color="auto"/>
        <w:left w:val="none" w:sz="0" w:space="0" w:color="auto"/>
        <w:bottom w:val="none" w:sz="0" w:space="0" w:color="auto"/>
        <w:right w:val="none" w:sz="0" w:space="0" w:color="auto"/>
      </w:divBdr>
    </w:div>
    <w:div w:id="1750275852">
      <w:bodyDiv w:val="1"/>
      <w:marLeft w:val="0"/>
      <w:marRight w:val="0"/>
      <w:marTop w:val="0"/>
      <w:marBottom w:val="0"/>
      <w:divBdr>
        <w:top w:val="none" w:sz="0" w:space="0" w:color="auto"/>
        <w:left w:val="none" w:sz="0" w:space="0" w:color="auto"/>
        <w:bottom w:val="none" w:sz="0" w:space="0" w:color="auto"/>
        <w:right w:val="none" w:sz="0" w:space="0" w:color="auto"/>
      </w:divBdr>
    </w:div>
    <w:div w:id="1785075926">
      <w:bodyDiv w:val="1"/>
      <w:marLeft w:val="0"/>
      <w:marRight w:val="0"/>
      <w:marTop w:val="0"/>
      <w:marBottom w:val="0"/>
      <w:divBdr>
        <w:top w:val="none" w:sz="0" w:space="0" w:color="auto"/>
        <w:left w:val="none" w:sz="0" w:space="0" w:color="auto"/>
        <w:bottom w:val="none" w:sz="0" w:space="0" w:color="auto"/>
        <w:right w:val="none" w:sz="0" w:space="0" w:color="auto"/>
      </w:divBdr>
    </w:div>
    <w:div w:id="1814642128">
      <w:bodyDiv w:val="1"/>
      <w:marLeft w:val="0"/>
      <w:marRight w:val="0"/>
      <w:marTop w:val="0"/>
      <w:marBottom w:val="0"/>
      <w:divBdr>
        <w:top w:val="none" w:sz="0" w:space="0" w:color="auto"/>
        <w:left w:val="none" w:sz="0" w:space="0" w:color="auto"/>
        <w:bottom w:val="none" w:sz="0" w:space="0" w:color="auto"/>
        <w:right w:val="none" w:sz="0" w:space="0" w:color="auto"/>
      </w:divBdr>
    </w:div>
    <w:div w:id="2061974671">
      <w:bodyDiv w:val="1"/>
      <w:marLeft w:val="0"/>
      <w:marRight w:val="0"/>
      <w:marTop w:val="0"/>
      <w:marBottom w:val="0"/>
      <w:divBdr>
        <w:top w:val="none" w:sz="0" w:space="0" w:color="auto"/>
        <w:left w:val="none" w:sz="0" w:space="0" w:color="auto"/>
        <w:bottom w:val="none" w:sz="0" w:space="0" w:color="auto"/>
        <w:right w:val="none" w:sz="0" w:space="0" w:color="auto"/>
      </w:divBdr>
    </w:div>
    <w:div w:id="212862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ocal.gov.uk/public-spaces-protection-orders-guidance-council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ocal.gov.uk/parliament/briefings-and-responses/100-business-rates-retention-further-consultation-desig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bpf.org.uk/sites/default/files/resources/BPF-LGA-unlocking-growth-through-partnership.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dass.org.uk/top-tips-financial-abuse-and-scams" TargetMode="External"/><Relationship Id="rId20" Type="http://schemas.openxmlformats.org/officeDocument/2006/relationships/hyperlink" Target="http://links.govdelivery.com/track?type=click&amp;enid=ZWFzPTEmbXNpZD0mYXVpZD0mbWFpbGluZ2lkPTIwMTcwNDEzLjcyMjg1OTIxJm1lc3NhZ2VpZD1NREItUFJELUJVTC0yMDE3MDQxMy43MjI4NTkyMSZkYXRhYmFzZWlkPTEwMDEmc2VyaWFsPTE2OTE3NTExJmVtYWlsaWQ9amFtZXMuYWxleGFuZHJlQGxvY2FsLmdvdi51ayZ1c2VyaWQ9amFtZXMuYWxleGFuZHJlQGxvY2FsLmdvdi51ayZ0YXJnZXRpZD0mZmw9JmV4dHJhPU11bHRpdmFyaWF0ZUlkPSYmJg==&amp;&amp;&amp;116&amp;&amp;&amp;http://www.local.gov.uk/events/past-event-present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ki.goddard@local.gov.uk"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local.gov.uk/topics/social-care-health-and-integration/adult-social-care/lead-member-developmen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links.govdelivery.com/track?type=click&amp;enid=ZWFzPTEmbXNpZD0mYXVpZD0mbWFpbGluZ2lkPTIwMTcwNDEzLjcyMjg1OTIxJm1lc3NhZ2VpZD1NREItUFJELUJVTC0yMDE3MDQxMy43MjI4NTkyMSZkYXRhYmFzZWlkPTEwMDEmc2VyaWFsPTE2OTE3NTExJmVtYWlsaWQ9amFtZXMuYWxleGFuZHJlQGxvY2FsLmdvdi51ayZ1c2VyaWQ9amFtZXMuYWxleGFuZHJlQGxvY2FsLmdvdi51ayZ0YXJnZXRpZD0mZmw9JmV4dHJhPU11bHRpdmFyaWF0ZUlkPSYmJg==&amp;&amp;&amp;115&amp;&amp;&amp;https://www.gov.uk/government/consultations/100-business-rates-retention-further-consultation-on-the-design-of-the-reformed-syste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312C1426F124A968684E7578A94F6" ma:contentTypeVersion="4" ma:contentTypeDescription="Create a new document." ma:contentTypeScope="" ma:versionID="c42191b130a8abd73980afd58ca45fd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2B32C-2E3C-4913-B673-6E2105EEB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65E05-8B88-4CBA-A396-3DDF3D1639CD}">
  <ds:schemaRefs>
    <ds:schemaRef ds:uri="http://schemas.microsoft.com/sharepoint/v3/contenttype/forms"/>
  </ds:schemaRefs>
</ds:datastoreItem>
</file>

<file path=customXml/itemProps3.xml><?xml version="1.0" encoding="utf-8"?>
<ds:datastoreItem xmlns:ds="http://schemas.openxmlformats.org/officeDocument/2006/customXml" ds:itemID="{963F8DF8-BA99-4144-A24D-84D48438AEC1}">
  <ds:schemaRefs>
    <ds:schemaRef ds:uri="http://www.w3.org/XML/1998/namespace"/>
    <ds:schemaRef ds:uri="http://purl.org/dc/elements/1.1/"/>
    <ds:schemaRef ds:uri="1c8a0e75-f4bc-4eb4-8ed0-578eaea9e1ca"/>
    <ds:schemaRef ds:uri="http://purl.org/dc/terms/"/>
    <ds:schemaRef ds:uri="http://purl.org/dc/dcmitype/"/>
    <ds:schemaRef ds:uri="http://schemas.microsoft.com/office/2006/documentManagement/types"/>
    <ds:schemaRef ds:uri="c8febe6a-14d9-43ab-83c3-c48f478fa47c"/>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86829DD-B329-475F-93AA-14B032A4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748160A4</Template>
  <TotalTime>27</TotalTime>
  <Pages>11</Pages>
  <Words>3643</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Member report template</vt:lpstr>
    </vt:vector>
  </TitlesOfParts>
  <Company/>
  <LinksUpToDate>false</LinksUpToDate>
  <CharactersWithSpaces>24361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report template</dc:title>
  <dc:subject/>
  <dc:creator>Frances Marshall</dc:creator>
  <cp:keywords/>
  <dc:description/>
  <cp:lastModifiedBy>Jessica Norman</cp:lastModifiedBy>
  <cp:revision>5</cp:revision>
  <dcterms:created xsi:type="dcterms:W3CDTF">2017-06-30T16:08:00Z</dcterms:created>
  <dcterms:modified xsi:type="dcterms:W3CDTF">2017-07-03T14:52:00Z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0x010100572312C1426F124A968684E7578A94F6</vt:lpwstr>
  </property>
</Properties>
</file>